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6D6546" w:rsidRPr="00CE333A" w:rsidP="007B09BC">
      <w:pPr>
        <w:pStyle w:val="Normal0"/>
        <w:jc w:val="center"/>
        <w:rPr>
          <w:b/>
          <w:sz w:val="36"/>
          <w:szCs w:val="36"/>
        </w:rPr>
      </w:pPr>
      <w:r w:rsidRPr="00CE333A">
        <w:rPr>
          <w:b/>
          <w:sz w:val="36"/>
          <w:szCs w:val="36"/>
        </w:rPr>
        <w:t>2021 PARMA ANNUAL RISK MANAGERS CONFERENCE</w:t>
      </w:r>
    </w:p>
    <w:p w:rsidR="007B09BC" w:rsidRPr="00CE333A" w:rsidP="007B09BC">
      <w:pPr>
        <w:pStyle w:val="Normal0"/>
        <w:jc w:val="center"/>
        <w:rPr>
          <w:b/>
          <w:sz w:val="36"/>
          <w:szCs w:val="36"/>
        </w:rPr>
      </w:pPr>
      <w:r>
        <w:rPr>
          <w:b/>
          <w:sz w:val="36"/>
          <w:szCs w:val="36"/>
        </w:rPr>
        <w:t>FEBR</w:t>
      </w:r>
      <w:r w:rsidR="004F0F22">
        <w:rPr>
          <w:b/>
          <w:sz w:val="36"/>
          <w:szCs w:val="36"/>
        </w:rPr>
        <w:t>UARY 3, 2021 – 2:00 p.m. to 3:15</w:t>
      </w:r>
      <w:r w:rsidRPr="00CE333A">
        <w:rPr>
          <w:b/>
          <w:sz w:val="36"/>
          <w:szCs w:val="36"/>
        </w:rPr>
        <w:t xml:space="preserve"> p.m.</w:t>
      </w:r>
    </w:p>
    <w:p w:rsidR="007B09BC" w:rsidP="007B09BC">
      <w:pPr>
        <w:pStyle w:val="Normal0"/>
        <w:jc w:val="center"/>
        <w:rPr>
          <w:b/>
        </w:rPr>
      </w:pPr>
      <w:r w:rsidRPr="00CE333A">
        <w:rPr>
          <w:b/>
          <w:sz w:val="36"/>
          <w:szCs w:val="36"/>
        </w:rPr>
        <w:t>Remote Access Via Zoom</w:t>
      </w:r>
    </w:p>
    <w:p w:rsidR="007B09BC" w:rsidP="007B09BC">
      <w:pPr>
        <w:pStyle w:val="Normal0"/>
        <w:jc w:val="center"/>
        <w:rPr>
          <w:b/>
        </w:rPr>
      </w:pPr>
    </w:p>
    <w:p w:rsidR="007B09BC" w:rsidRPr="00CE333A" w:rsidP="007B09BC">
      <w:pPr>
        <w:pStyle w:val="Normal0"/>
        <w:jc w:val="center"/>
        <w:rPr>
          <w:b/>
          <w:sz w:val="36"/>
          <w:szCs w:val="36"/>
          <w:u w:val="single"/>
        </w:rPr>
      </w:pPr>
      <w:r>
        <w:rPr>
          <w:b/>
          <w:sz w:val="36"/>
          <w:szCs w:val="36"/>
          <w:u w:val="single"/>
        </w:rPr>
        <w:t xml:space="preserve">How </w:t>
      </w:r>
      <w:r>
        <w:rPr>
          <w:b/>
          <w:sz w:val="36"/>
          <w:szCs w:val="36"/>
          <w:u w:val="single"/>
        </w:rPr>
        <w:t>COVID</w:t>
      </w:r>
      <w:r w:rsidRPr="00CE333A">
        <w:rPr>
          <w:b/>
          <w:sz w:val="36"/>
          <w:szCs w:val="36"/>
          <w:u w:val="single"/>
        </w:rPr>
        <w:t>-19 Has Changed the Insurance Landscape from an Underwriting and Claims Perspective</w:t>
      </w:r>
    </w:p>
    <w:p w:rsidR="007B09BC" w:rsidP="007B09BC">
      <w:pPr>
        <w:pStyle w:val="Normal0"/>
        <w:jc w:val="center"/>
        <w:rPr>
          <w:b/>
          <w:u w:val="single"/>
        </w:rPr>
      </w:pPr>
    </w:p>
    <w:p w:rsidR="00CE333A" w:rsidP="007B09BC">
      <w:pPr>
        <w:pStyle w:val="Normal0"/>
        <w:jc w:val="center"/>
        <w:rPr>
          <w:b/>
          <w:u w:val="single"/>
        </w:rPr>
      </w:pPr>
    </w:p>
    <w:p w:rsidR="00CE333A" w:rsidP="007B09BC">
      <w:pPr>
        <w:pStyle w:val="Normal0"/>
        <w:jc w:val="center"/>
        <w:rPr>
          <w:b/>
          <w:u w:val="single"/>
        </w:rPr>
      </w:pPr>
    </w:p>
    <w:p w:rsidR="00FD0ED1" w:rsidP="007B09BC">
      <w:pPr>
        <w:pStyle w:val="Normal0"/>
        <w:jc w:val="center"/>
        <w:rPr>
          <w:b/>
          <w:u w:val="single"/>
        </w:rPr>
      </w:pPr>
    </w:p>
    <w:p w:rsidR="007B09BC" w:rsidP="007B09BC">
      <w:pPr>
        <w:pStyle w:val="Normal0"/>
        <w:jc w:val="center"/>
      </w:pPr>
    </w:p>
    <w:p w:rsidR="007B09BC" w:rsidP="007B09BC">
      <w:pPr>
        <w:pStyle w:val="Normal0"/>
        <w:jc w:val="center"/>
      </w:pPr>
      <w:r>
        <w:rPr>
          <w:b/>
          <w:u w:val="single"/>
        </w:rPr>
        <w:t>Panelists</w:t>
      </w:r>
    </w:p>
    <w:p w:rsidR="007B09BC" w:rsidP="007B09BC">
      <w:pPr>
        <w:pStyle w:val="Normal0"/>
        <w:jc w:val="center"/>
      </w:pPr>
      <w:r>
        <w:t xml:space="preserve">Margaret </w:t>
      </w:r>
      <w:r>
        <w:t>Zechlin</w:t>
      </w:r>
    </w:p>
    <w:p w:rsidR="007B09BC" w:rsidP="007B09BC">
      <w:pPr>
        <w:pStyle w:val="Normal0"/>
        <w:jc w:val="center"/>
      </w:pPr>
      <w:r>
        <w:t>Allied Public Risk, LLC</w:t>
      </w:r>
    </w:p>
    <w:p w:rsidR="007B09BC" w:rsidP="007B09BC">
      <w:pPr>
        <w:pStyle w:val="Normal0"/>
        <w:jc w:val="center"/>
      </w:pPr>
      <w:r>
        <w:t>7250 Redwood Blvd., Suite 300</w:t>
      </w:r>
    </w:p>
    <w:p w:rsidR="007B09BC" w:rsidP="007B09BC">
      <w:pPr>
        <w:pStyle w:val="Normal0"/>
        <w:jc w:val="center"/>
      </w:pPr>
      <w:r>
        <w:t>Novato, CA 94945</w:t>
      </w:r>
    </w:p>
    <w:p w:rsidR="007B09BC" w:rsidP="007B09BC">
      <w:pPr>
        <w:pStyle w:val="Normal0"/>
        <w:jc w:val="center"/>
      </w:pPr>
      <w:r>
        <w:t>415-761-8628</w:t>
      </w:r>
    </w:p>
    <w:p w:rsidR="007B09BC" w:rsidP="007B09BC">
      <w:pPr>
        <w:pStyle w:val="Normal0"/>
        <w:jc w:val="center"/>
      </w:pPr>
      <w:r>
        <w:t xml:space="preserve">E-mail: </w:t>
      </w:r>
      <w:r>
        <w:fldChar w:fldCharType="begin"/>
      </w:r>
      <w:r>
        <w:instrText xml:space="preserve"> HYPERLINK "mailto:mzechlin@alliedpublicrisk.com" </w:instrText>
      </w:r>
      <w:r>
        <w:fldChar w:fldCharType="separate"/>
      </w:r>
      <w:r w:rsidRPr="00547A54">
        <w:rPr>
          <w:rStyle w:val="Hyperlink"/>
        </w:rPr>
        <w:t>mzechlin@alliedpublicrisk.com</w:t>
      </w:r>
      <w:r>
        <w:fldChar w:fldCharType="end"/>
      </w:r>
      <w:r>
        <w:t xml:space="preserve"> </w:t>
      </w:r>
    </w:p>
    <w:p w:rsidR="00CE333A" w:rsidP="007B09BC">
      <w:pPr>
        <w:pStyle w:val="Normal0"/>
        <w:jc w:val="center"/>
      </w:pPr>
    </w:p>
    <w:p w:rsidR="00CE333A" w:rsidP="007B09BC">
      <w:pPr>
        <w:pStyle w:val="Normal0"/>
        <w:jc w:val="center"/>
      </w:pPr>
      <w:r>
        <w:t>Ryan Tel</w:t>
      </w:r>
      <w:r>
        <w:t>ford</w:t>
      </w:r>
    </w:p>
    <w:p w:rsidR="00CE333A" w:rsidP="007B09BC">
      <w:pPr>
        <w:pStyle w:val="Normal0"/>
        <w:jc w:val="center"/>
      </w:pPr>
      <w:r>
        <w:t>AmWins</w:t>
      </w:r>
      <w:r>
        <w:t xml:space="preserve"> Insurance Brokerage of California, LLC</w:t>
      </w:r>
    </w:p>
    <w:p w:rsidR="00CE333A" w:rsidP="007B09BC">
      <w:pPr>
        <w:pStyle w:val="Normal0"/>
        <w:jc w:val="center"/>
      </w:pPr>
      <w:r>
        <w:t xml:space="preserve">21550 Oxnard Street, </w:t>
      </w:r>
      <w:r w:rsidR="00BC40CD">
        <w:t>Suite</w:t>
      </w:r>
      <w:r>
        <w:t xml:space="preserve"> 1100</w:t>
      </w:r>
    </w:p>
    <w:p w:rsidR="00CE333A" w:rsidP="007B09BC">
      <w:pPr>
        <w:pStyle w:val="Normal0"/>
        <w:jc w:val="center"/>
      </w:pPr>
      <w:r>
        <w:t>Woodland Hills, CA 91367</w:t>
      </w:r>
    </w:p>
    <w:p w:rsidR="007B09BC" w:rsidP="007B09BC">
      <w:pPr>
        <w:pStyle w:val="Normal0"/>
        <w:jc w:val="center"/>
      </w:pPr>
      <w:r w:rsidRPr="00CE333A">
        <w:t>818-772-3821</w:t>
      </w:r>
    </w:p>
    <w:p w:rsidR="00CE333A" w:rsidP="007B09BC">
      <w:pPr>
        <w:pStyle w:val="Normal0"/>
        <w:jc w:val="center"/>
      </w:pPr>
      <w:r>
        <w:t>E-mail:</w:t>
      </w:r>
      <w:r w:rsidRPr="00CE333A">
        <w:t xml:space="preserve"> </w:t>
      </w:r>
      <w:r>
        <w:fldChar w:fldCharType="begin"/>
      </w:r>
      <w:r>
        <w:instrText xml:space="preserve"> HYPERLINK "mailto:ryan.telford@amwins.com" </w:instrText>
      </w:r>
      <w:r>
        <w:fldChar w:fldCharType="separate"/>
      </w:r>
      <w:r w:rsidRPr="00547A54">
        <w:rPr>
          <w:rStyle w:val="Hyperlink"/>
        </w:rPr>
        <w:t>ryan.telford@amwins.com</w:t>
      </w:r>
      <w:r>
        <w:fldChar w:fldCharType="end"/>
      </w:r>
      <w:r>
        <w:t xml:space="preserve"> </w:t>
      </w:r>
    </w:p>
    <w:p w:rsidR="00CE333A" w:rsidP="007B09BC">
      <w:pPr>
        <w:pStyle w:val="Normal0"/>
        <w:jc w:val="center"/>
      </w:pPr>
    </w:p>
    <w:p w:rsidR="00CE333A" w:rsidP="007B09BC">
      <w:pPr>
        <w:pStyle w:val="Normal0"/>
        <w:jc w:val="center"/>
      </w:pPr>
      <w:r>
        <w:t>Kevin D. Hansen</w:t>
      </w:r>
    </w:p>
    <w:p w:rsidR="00CE333A" w:rsidP="00CE333A">
      <w:pPr>
        <w:pStyle w:val="Normal0"/>
        <w:jc w:val="center"/>
      </w:pPr>
      <w:r>
        <w:t>McCormick, Barstow, Sheppard, Wayte &amp; Carruth</w:t>
      </w:r>
    </w:p>
    <w:p w:rsidR="00CE333A" w:rsidP="00CE333A">
      <w:pPr>
        <w:pStyle w:val="Normal0"/>
        <w:jc w:val="center"/>
      </w:pPr>
      <w:r>
        <w:t>7647 N. Fresno Street</w:t>
      </w:r>
    </w:p>
    <w:p w:rsidR="00CE333A" w:rsidP="00CE333A">
      <w:pPr>
        <w:pStyle w:val="Normal0"/>
        <w:jc w:val="center"/>
      </w:pPr>
      <w:r>
        <w:t>Fresno, California 93720</w:t>
      </w:r>
    </w:p>
    <w:p w:rsidR="00CE333A" w:rsidP="00CE333A">
      <w:pPr>
        <w:pStyle w:val="Normal0"/>
        <w:jc w:val="center"/>
      </w:pPr>
      <w:r>
        <w:t>(559) 433-1300 FAX: (559) 433-2300</w:t>
      </w:r>
    </w:p>
    <w:p w:rsidR="00CE333A" w:rsidP="00CE333A">
      <w:pPr>
        <w:pStyle w:val="Normal0"/>
        <w:jc w:val="center"/>
      </w:pPr>
      <w:r>
        <w:t xml:space="preserve">E-mail: </w:t>
      </w:r>
      <w:r>
        <w:fldChar w:fldCharType="begin"/>
      </w:r>
      <w:r>
        <w:instrText xml:space="preserve"> HYPERLINK "mailto:kevin.hansen@mccormickbarstow.com" </w:instrText>
      </w:r>
      <w:r>
        <w:fldChar w:fldCharType="separate"/>
      </w:r>
      <w:r w:rsidRPr="00547A54">
        <w:rPr>
          <w:rStyle w:val="Hyperlink"/>
        </w:rPr>
        <w:t>kevin.hansen@mccormickbarstow.com</w:t>
      </w:r>
      <w:r>
        <w:fldChar w:fldCharType="end"/>
      </w:r>
      <w:r>
        <w:t xml:space="preserve"> </w:t>
      </w:r>
    </w:p>
    <w:p w:rsidR="00BA0614" w:rsidP="00CE333A">
      <w:pPr>
        <w:pStyle w:val="Normal0"/>
        <w:jc w:val="center"/>
      </w:pPr>
    </w:p>
    <w:p w:rsidR="00BA0614" w:rsidP="00BA0614">
      <w:pPr>
        <w:pStyle w:val="Normal0"/>
        <w:jc w:val="center"/>
      </w:pPr>
      <w:r>
        <w:rPr>
          <w:b/>
          <w:u w:val="single"/>
        </w:rPr>
        <w:t>Moderator</w:t>
      </w:r>
    </w:p>
    <w:p w:rsidR="00BA0614" w:rsidP="00BA0614">
      <w:pPr>
        <w:pStyle w:val="Normal0"/>
        <w:jc w:val="center"/>
      </w:pPr>
      <w:r>
        <w:t>James P. Wagoner</w:t>
      </w:r>
    </w:p>
    <w:p w:rsidR="00BA0614" w:rsidP="00BA0614">
      <w:pPr>
        <w:pStyle w:val="Normal0"/>
        <w:jc w:val="center"/>
      </w:pPr>
      <w:r>
        <w:t>McCormick, Barstow, Sheppard, Wayte &amp; Carruth</w:t>
      </w:r>
    </w:p>
    <w:p w:rsidR="00BA0614" w:rsidP="00BA0614">
      <w:pPr>
        <w:pStyle w:val="Normal0"/>
        <w:jc w:val="center"/>
      </w:pPr>
      <w:r>
        <w:t>7647 N. Fresno Street</w:t>
      </w:r>
    </w:p>
    <w:p w:rsidR="00BA0614" w:rsidP="00BA0614">
      <w:pPr>
        <w:pStyle w:val="Normal0"/>
        <w:jc w:val="center"/>
      </w:pPr>
      <w:r>
        <w:t>Fresno, California 93720</w:t>
      </w:r>
    </w:p>
    <w:p w:rsidR="00BA0614" w:rsidP="00BA0614">
      <w:pPr>
        <w:pStyle w:val="Normal0"/>
        <w:jc w:val="center"/>
      </w:pPr>
      <w:r>
        <w:t>(559) 433-1300 FAX: (559) 433-2300</w:t>
      </w:r>
    </w:p>
    <w:p w:rsidR="00BA0614" w:rsidP="00BA0614">
      <w:pPr>
        <w:pStyle w:val="Normal0"/>
        <w:jc w:val="center"/>
      </w:pPr>
      <w:r>
        <w:t xml:space="preserve">E-mail: </w:t>
      </w:r>
      <w:r>
        <w:fldChar w:fldCharType="begin"/>
      </w:r>
      <w:r>
        <w:instrText xml:space="preserve"> HYPERLINK "mailto:jim.wagoner@mccormickbarstow.com" </w:instrText>
      </w:r>
      <w:r>
        <w:fldChar w:fldCharType="separate"/>
      </w:r>
      <w:r w:rsidRPr="00547A54">
        <w:rPr>
          <w:rStyle w:val="Hyperlink"/>
        </w:rPr>
        <w:t>jim.wagoner@mccormickbarstow.com</w:t>
      </w:r>
      <w:r>
        <w:fldChar w:fldCharType="end"/>
      </w:r>
    </w:p>
    <w:p w:rsidR="00BA0614"/>
    <w:p w:rsidR="00C26B47" w:rsidRPr="00C26B47" w:rsidP="00C26B47">
      <w:pPr>
        <w:suppressAutoHyphens w:val="0"/>
        <w:spacing w:after="160" w:line="259" w:lineRule="auto"/>
        <w:jc w:val="left"/>
      </w:pPr>
      <w:r>
        <w:br w:type="page"/>
      </w:r>
    </w:p>
    <w:p w:rsidR="00CE333A" w:rsidP="009B22A3">
      <w:pPr>
        <w:pStyle w:val="Level1"/>
        <w:spacing w:line="480" w:lineRule="auto"/>
        <w:rPr>
          <w:caps w:val="0"/>
        </w:rPr>
      </w:pPr>
      <w:r>
        <w:rPr>
          <w:caps w:val="0"/>
        </w:rPr>
        <w:t>Introduction</w:t>
      </w:r>
    </w:p>
    <w:p w:rsidR="00E7791B" w:rsidP="002E1947">
      <w:pPr>
        <w:pStyle w:val="20sp0"/>
        <w:spacing w:after="240"/>
        <w:ind w:right="90"/>
      </w:pPr>
      <w:r>
        <w:t>The purpose of this session</w:t>
      </w:r>
      <w:r w:rsidR="005A7AC0">
        <w:t xml:space="preserve"> is </w:t>
      </w:r>
      <w:r w:rsidR="006B433C">
        <w:t xml:space="preserve">discuss </w:t>
      </w:r>
      <w:r w:rsidR="005A7AC0">
        <w:t>how the</w:t>
      </w:r>
      <w:r w:rsidR="006B433C">
        <w:t xml:space="preserve"> worldwide pandemic involving the</w:t>
      </w:r>
      <w:r w:rsidR="005A7AC0">
        <w:t xml:space="preserve"> novel coronavirus known as </w:t>
      </w:r>
      <w:r w:rsidR="005A7AC0">
        <w:t>C</w:t>
      </w:r>
      <w:r w:rsidR="006B433C">
        <w:t>OVID</w:t>
      </w:r>
      <w:r w:rsidR="005A7AC0">
        <w:t xml:space="preserve">-19 is </w:t>
      </w:r>
      <w:r w:rsidR="006B433C">
        <w:t xml:space="preserve">has affected and is </w:t>
      </w:r>
      <w:r w:rsidR="005A7AC0">
        <w:t xml:space="preserve">currently affecting the insurance market, including </w:t>
      </w:r>
      <w:r w:rsidR="006B433C">
        <w:t>its</w:t>
      </w:r>
      <w:r w:rsidR="005A7AC0">
        <w:t xml:space="preserve"> effects on the property and liability markets</w:t>
      </w:r>
      <w:r w:rsidR="006B433C">
        <w:t>,</w:t>
      </w:r>
      <w:r w:rsidR="005A7AC0">
        <w:t xml:space="preserve"> and coverage issues </w:t>
      </w:r>
      <w:r w:rsidR="006B433C">
        <w:t xml:space="preserve">associated with </w:t>
      </w:r>
      <w:r w:rsidR="006B433C">
        <w:t>COVID</w:t>
      </w:r>
      <w:r w:rsidR="006B433C">
        <w:t xml:space="preserve">-19 </w:t>
      </w:r>
      <w:r w:rsidR="005A7AC0">
        <w:t>that have arisen over the past year.</w:t>
      </w:r>
      <w:r w:rsidR="007D785E">
        <w:t xml:space="preserve"> </w:t>
      </w:r>
      <w:r>
        <w:t xml:space="preserve">By way of background, </w:t>
      </w:r>
      <w:r w:rsidR="005A7AC0">
        <w:t>Governor Gavin Newsom declared a State of Emergency in California based on the coronavirus outbreak</w:t>
      </w:r>
      <w:r>
        <w:t xml:space="preserve"> on March 4, 2020</w:t>
      </w:r>
      <w:r w:rsidR="005A7AC0">
        <w:t>.</w:t>
      </w:r>
      <w:r>
        <w:rPr>
          <w:rStyle w:val="FootnoteReference"/>
        </w:rPr>
        <w:footnoteReference w:id="2"/>
      </w:r>
      <w:r w:rsidR="005A7AC0">
        <w:t xml:space="preserve"> Subsequently, the World Health organization declared </w:t>
      </w:r>
      <w:r w:rsidR="005A7AC0">
        <w:t>COVID</w:t>
      </w:r>
      <w:r w:rsidR="005A7AC0">
        <w:t xml:space="preserve">-19 a global pandemic </w:t>
      </w:r>
      <w:r>
        <w:t xml:space="preserve">on March 11, 2020, </w:t>
      </w:r>
      <w:r>
        <w:rPr>
          <w:rStyle w:val="FootnoteReference"/>
        </w:rPr>
        <w:footnoteReference w:id="3"/>
      </w:r>
      <w:r w:rsidR="005A7AC0">
        <w:t xml:space="preserve">. </w:t>
      </w:r>
    </w:p>
    <w:p w:rsidR="007D785E" w:rsidP="009B22A3">
      <w:pPr>
        <w:pStyle w:val="Level2"/>
        <w:spacing w:line="480" w:lineRule="auto"/>
      </w:pPr>
      <w:r>
        <w:rPr>
          <w:u w:val="none"/>
        </w:rPr>
        <w:t xml:space="preserve">Ongoing Coronavirus </w:t>
      </w:r>
      <w:r w:rsidR="006B433C">
        <w:rPr>
          <w:u w:val="none"/>
        </w:rPr>
        <w:t xml:space="preserve">Coverage </w:t>
      </w:r>
      <w:r>
        <w:rPr>
          <w:u w:val="none"/>
        </w:rPr>
        <w:t>Litigation</w:t>
      </w:r>
    </w:p>
    <w:p w:rsidR="00A93A1C" w:rsidRPr="00ED143D" w:rsidP="009B22A3">
      <w:pPr>
        <w:pStyle w:val="20sp0"/>
        <w:spacing w:after="240"/>
      </w:pPr>
      <w:r w:rsidRPr="00ED143D">
        <w:t xml:space="preserve">According </w:t>
      </w:r>
      <w:r w:rsidRPr="00ED143D" w:rsidR="00920348">
        <w:t xml:space="preserve">to a complaint tracker maintained by the law firm </w:t>
      </w:r>
      <w:r w:rsidRPr="00ED143D" w:rsidR="00920348">
        <w:t>Hunton</w:t>
      </w:r>
      <w:r w:rsidRPr="00ED143D" w:rsidR="00920348">
        <w:t xml:space="preserve"> Andrews </w:t>
      </w:r>
      <w:r w:rsidRPr="00ED143D" w:rsidR="00920348">
        <w:t>Kurth</w:t>
      </w:r>
      <w:r w:rsidRPr="00ED143D" w:rsidR="00920348">
        <w:t xml:space="preserve"> LLP, there </w:t>
      </w:r>
      <w:r w:rsidRPr="00ED143D" w:rsidR="006B433C">
        <w:t>were</w:t>
      </w:r>
      <w:r w:rsidRPr="00ED143D" w:rsidR="00920348">
        <w:t xml:space="preserve"> </w:t>
      </w:r>
      <w:r w:rsidRPr="00ED143D" w:rsidR="00C017C0">
        <w:t>7,962</w:t>
      </w:r>
      <w:r w:rsidRPr="00ED143D" w:rsidR="00920348">
        <w:t xml:space="preserve"> </w:t>
      </w:r>
      <w:r w:rsidRPr="00ED143D" w:rsidR="006B433C">
        <w:t xml:space="preserve">coronavirus-related </w:t>
      </w:r>
      <w:r w:rsidRPr="00ED143D" w:rsidR="00920348">
        <w:t>complaints filed between</w:t>
      </w:r>
      <w:r w:rsidRPr="00ED143D" w:rsidR="00C017C0">
        <w:t xml:space="preserve"> January 30, 2020 and January 15</w:t>
      </w:r>
      <w:r w:rsidRPr="00ED143D" w:rsidR="00ED143D">
        <w:t>,</w:t>
      </w:r>
      <w:r w:rsidRPr="00ED143D" w:rsidR="00920348">
        <w:t xml:space="preserve"> 2021, of which 1,406 have involved insurance.</w:t>
      </w:r>
      <w:r>
        <w:rPr>
          <w:rStyle w:val="FootnoteReference"/>
        </w:rPr>
        <w:footnoteReference w:id="4"/>
      </w:r>
      <w:r w:rsidRPr="00ED143D" w:rsidR="00944574">
        <w:t xml:space="preserve"> In addition, </w:t>
      </w:r>
      <w:r w:rsidRPr="00ED143D">
        <w:t>the Universit</w:t>
      </w:r>
      <w:r w:rsidRPr="00ED143D" w:rsidR="00944574">
        <w:t xml:space="preserve">y of Pennsylvania Law School maintains a </w:t>
      </w:r>
      <w:r w:rsidR="00BC40CD">
        <w:t>COVID</w:t>
      </w:r>
      <w:r w:rsidRPr="00ED143D">
        <w:t xml:space="preserve"> Coverage Litigation Tracker, </w:t>
      </w:r>
      <w:r w:rsidRPr="00ED143D" w:rsidR="00944574">
        <w:t>which currently displays data between</w:t>
      </w:r>
      <w:r w:rsidRPr="00ED143D">
        <w:t xml:space="preserve"> March 16, 2020 </w:t>
      </w:r>
      <w:r w:rsidRPr="00ED143D" w:rsidR="00944574">
        <w:t>through December 11</w:t>
      </w:r>
      <w:r w:rsidRPr="00ED143D">
        <w:t>,</w:t>
      </w:r>
      <w:r w:rsidRPr="00ED143D" w:rsidR="00944574">
        <w:t>2020,</w:t>
      </w:r>
      <w:r w:rsidRPr="00ED143D">
        <w:t xml:space="preserve"> </w:t>
      </w:r>
      <w:r w:rsidRPr="00ED143D" w:rsidR="006B433C">
        <w:t xml:space="preserve">and which </w:t>
      </w:r>
      <w:r w:rsidRPr="00ED143D" w:rsidR="00944574">
        <w:t>report</w:t>
      </w:r>
      <w:r w:rsidRPr="00ED143D" w:rsidR="006B433C">
        <w:t>s</w:t>
      </w:r>
      <w:r w:rsidRPr="00ED143D" w:rsidR="00944574">
        <w:t xml:space="preserve"> that there have been a total 1,450</w:t>
      </w:r>
      <w:r w:rsidRPr="00ED143D">
        <w:t xml:space="preserve"> coverage cases filed involving the novel coronavirus.</w:t>
      </w:r>
      <w:r>
        <w:rPr>
          <w:rStyle w:val="FootnoteReference"/>
        </w:rPr>
        <w:footnoteReference w:id="5"/>
      </w:r>
      <w:r w:rsidRPr="00ED143D">
        <w:t xml:space="preserve"> </w:t>
      </w:r>
    </w:p>
    <w:p w:rsidR="005A7AC0" w:rsidP="009B22A3">
      <w:pPr>
        <w:pStyle w:val="Level1"/>
        <w:spacing w:line="480" w:lineRule="auto"/>
        <w:rPr>
          <w:caps w:val="0"/>
        </w:rPr>
      </w:pPr>
      <w:r>
        <w:rPr>
          <w:caps w:val="0"/>
        </w:rPr>
        <w:t xml:space="preserve">How </w:t>
      </w:r>
      <w:r>
        <w:rPr>
          <w:caps w:val="0"/>
        </w:rPr>
        <w:t>COVID</w:t>
      </w:r>
      <w:r>
        <w:rPr>
          <w:caps w:val="0"/>
        </w:rPr>
        <w:t xml:space="preserve">-19 Has Affected </w:t>
      </w:r>
      <w:r w:rsidR="006B433C">
        <w:rPr>
          <w:caps w:val="0"/>
        </w:rPr>
        <w:t>T</w:t>
      </w:r>
      <w:r>
        <w:rPr>
          <w:caps w:val="0"/>
        </w:rPr>
        <w:t>he Insurance Markets</w:t>
      </w:r>
    </w:p>
    <w:p w:rsidR="005A7AC0" w:rsidRPr="005A7AC0" w:rsidP="006511ED">
      <w:pPr>
        <w:pStyle w:val="Level2"/>
      </w:pPr>
      <w:r w:rsidRPr="005A7AC0">
        <w:t>Property Insurance Market</w:t>
      </w:r>
    </w:p>
    <w:p w:rsidR="00CE333A" w:rsidP="009B22A3">
      <w:pPr>
        <w:pStyle w:val="Level3"/>
        <w:spacing w:line="480" w:lineRule="auto"/>
      </w:pPr>
      <w:r>
        <w:t>Business Interruption Insurance</w:t>
      </w:r>
    </w:p>
    <w:p w:rsidR="008801C3" w:rsidRPr="006511ED" w:rsidP="008801C3">
      <w:pPr>
        <w:pStyle w:val="20sp0"/>
      </w:pPr>
      <w:r w:rsidRPr="006511ED">
        <w:t xml:space="preserve">According to </w:t>
      </w:r>
      <w:r w:rsidRPr="006511ED" w:rsidR="006B433C">
        <w:t xml:space="preserve">a </w:t>
      </w:r>
      <w:r w:rsidRPr="006511ED">
        <w:t xml:space="preserve">tracker </w:t>
      </w:r>
      <w:r w:rsidRPr="00ED143D">
        <w:t xml:space="preserve">maintained by </w:t>
      </w:r>
      <w:r w:rsidRPr="00ED143D" w:rsidR="006B433C">
        <w:t xml:space="preserve">the </w:t>
      </w:r>
      <w:r w:rsidRPr="00ED143D">
        <w:t xml:space="preserve">University of Pennsylvania law school, there </w:t>
      </w:r>
      <w:r w:rsidRPr="00ED143D" w:rsidR="006B433C">
        <w:t>were</w:t>
      </w:r>
      <w:r w:rsidRPr="00ED143D">
        <w:t xml:space="preserve"> 1</w:t>
      </w:r>
      <w:r w:rsidRPr="00ED143D" w:rsidR="00FB3509">
        <w:t>5</w:t>
      </w:r>
      <w:r w:rsidRPr="00ED143D">
        <w:t xml:space="preserve">0 cases filed </w:t>
      </w:r>
      <w:r w:rsidRPr="00ED143D" w:rsidR="006B433C">
        <w:t xml:space="preserve">between </w:t>
      </w:r>
      <w:r w:rsidRPr="00ED143D" w:rsidR="00F028BA">
        <w:t>July 15, 2020</w:t>
      </w:r>
      <w:r w:rsidRPr="00ED143D" w:rsidR="006B433C">
        <w:t xml:space="preserve"> and </w:t>
      </w:r>
      <w:r w:rsidRPr="00ED143D" w:rsidR="00F028BA">
        <w:t xml:space="preserve">January </w:t>
      </w:r>
      <w:r w:rsidRPr="00ED143D" w:rsidR="00FB3509">
        <w:t xml:space="preserve">18, </w:t>
      </w:r>
      <w:r w:rsidRPr="00ED143D" w:rsidR="00F028BA">
        <w:t>2021</w:t>
      </w:r>
      <w:r w:rsidRPr="00ED143D" w:rsidR="00DE3D08">
        <w:t xml:space="preserve"> </w:t>
      </w:r>
      <w:r w:rsidRPr="00ED143D">
        <w:t>involving “Business Interruption” claims as part of property policy coverage.</w:t>
      </w:r>
      <w:r>
        <w:rPr>
          <w:rStyle w:val="FootnoteReference"/>
        </w:rPr>
        <w:footnoteReference w:id="6"/>
      </w:r>
    </w:p>
    <w:p w:rsidR="00196FDF" w:rsidRPr="00196FDF" w:rsidP="00196FDF">
      <w:pPr>
        <w:pStyle w:val="Level4"/>
        <w:spacing w:line="480" w:lineRule="auto"/>
        <w:rPr>
          <w:b w:val="0"/>
        </w:rPr>
      </w:pPr>
      <w:r>
        <w:t xml:space="preserve">Coverage Issue: </w:t>
      </w:r>
      <w:r w:rsidRPr="00196FDF">
        <w:t>Physical Loss “Of” Property Versus Physical Loss “To” Property</w:t>
      </w:r>
    </w:p>
    <w:p w:rsidR="00196FDF" w:rsidRPr="006511ED" w:rsidP="00196FDF">
      <w:pPr>
        <w:pStyle w:val="20sp0"/>
        <w:spacing w:after="240"/>
      </w:pPr>
      <w:r w:rsidRPr="006511ED">
        <w:t xml:space="preserve">Many of the current </w:t>
      </w:r>
      <w:r w:rsidRPr="006511ED" w:rsidR="006B433C">
        <w:t>b</w:t>
      </w:r>
      <w:r w:rsidRPr="006511ED">
        <w:t xml:space="preserve">usiness </w:t>
      </w:r>
      <w:r w:rsidRPr="006511ED" w:rsidR="006B433C">
        <w:t>i</w:t>
      </w:r>
      <w:r w:rsidRPr="006511ED">
        <w:t xml:space="preserve">nterruption cases revolve around </w:t>
      </w:r>
      <w:r w:rsidRPr="006511ED" w:rsidR="006B433C">
        <w:t xml:space="preserve">judicial </w:t>
      </w:r>
      <w:r w:rsidRPr="006511ED">
        <w:t xml:space="preserve"> interpretations of the </w:t>
      </w:r>
      <w:r w:rsidRPr="006511ED" w:rsidR="006B433C">
        <w:t>applicable</w:t>
      </w:r>
      <w:r w:rsidRPr="006511ED">
        <w:t xml:space="preserve"> policy’s </w:t>
      </w:r>
      <w:r w:rsidRPr="006511ED" w:rsidR="006B433C">
        <w:t xml:space="preserve">insuring </w:t>
      </w:r>
      <w:r w:rsidRPr="006511ED">
        <w:t xml:space="preserve">language concerning </w:t>
      </w:r>
      <w:r w:rsidRPr="006511ED" w:rsidR="006B433C">
        <w:t xml:space="preserve">direct </w:t>
      </w:r>
      <w:r w:rsidRPr="006511ED">
        <w:t xml:space="preserve">physical loss “of” or “to” property. In </w:t>
      </w:r>
      <w:r w:rsidRPr="006511ED">
        <w:rPr>
          <w:i/>
        </w:rPr>
        <w:t>Mudpie</w:t>
      </w:r>
      <w:r w:rsidRPr="006511ED">
        <w:rPr>
          <w:i/>
        </w:rPr>
        <w:t>, Inc. v. Travelers Casualty Insurance Company of America</w:t>
      </w:r>
      <w:r w:rsidRPr="006511ED" w:rsidR="006B433C">
        <w:rPr>
          <w:i/>
        </w:rPr>
        <w:t>,</w:t>
      </w:r>
      <w:r>
        <w:rPr>
          <w:rStyle w:val="FootnoteReference"/>
          <w:i/>
        </w:rPr>
        <w:footnoteReference w:id="7"/>
      </w:r>
      <w:r w:rsidRPr="006511ED" w:rsidR="006B433C">
        <w:t xml:space="preserve"> for example,</w:t>
      </w:r>
      <w:r w:rsidRPr="006511ED">
        <w:t xml:space="preserve"> </w:t>
      </w:r>
      <w:r w:rsidRPr="006511ED" w:rsidR="006B433C">
        <w:t xml:space="preserve">District Court </w:t>
      </w:r>
      <w:r w:rsidRPr="006511ED">
        <w:t xml:space="preserve">Judge Jon S. </w:t>
      </w:r>
      <w:r w:rsidRPr="006511ED">
        <w:t>Tigar</w:t>
      </w:r>
      <w:r w:rsidRPr="006511ED">
        <w:t xml:space="preserve"> </w:t>
      </w:r>
      <w:r w:rsidRPr="006511ED" w:rsidR="006B433C">
        <w:t xml:space="preserve">elaborated at some </w:t>
      </w:r>
      <w:r w:rsidRPr="006511ED">
        <w:t xml:space="preserve">length on this difference. The policy language at issue </w:t>
      </w:r>
      <w:r w:rsidRPr="006511ED" w:rsidR="006B433C">
        <w:t xml:space="preserve">in </w:t>
      </w:r>
      <w:r w:rsidRPr="006511ED" w:rsidR="006B433C">
        <w:rPr>
          <w:i/>
        </w:rPr>
        <w:t>Mudpie</w:t>
      </w:r>
      <w:r w:rsidRPr="006511ED" w:rsidR="006B433C">
        <w:rPr>
          <w:i/>
        </w:rPr>
        <w:t xml:space="preserve">, Inc. </w:t>
      </w:r>
      <w:r w:rsidRPr="006511ED">
        <w:t>stated</w:t>
      </w:r>
      <w:r w:rsidRPr="006511ED" w:rsidR="006B433C">
        <w:t>, in part</w:t>
      </w:r>
      <w:r w:rsidRPr="006511ED">
        <w:t xml:space="preserve">: </w:t>
      </w:r>
    </w:p>
    <w:p w:rsidR="00F028BA" w:rsidRPr="006511ED" w:rsidP="00196FDF">
      <w:pPr>
        <w:pStyle w:val="20spLeft-Right1"/>
        <w:spacing w:after="240"/>
      </w:pPr>
      <w:r w:rsidRPr="006511ED">
        <w:t xml:space="preserve">We will pay for the actual loss of Business Income you sustain due to the necessary “suspension” of your “operations” during the “period of restoration”. The “suspension” must be caused by direct </w:t>
      </w:r>
      <w:r w:rsidRPr="006511ED">
        <w:rPr>
          <w:u w:val="single"/>
        </w:rPr>
        <w:t>physical loss of or damage to property</w:t>
      </w:r>
      <w:r w:rsidRPr="006511ED">
        <w:t xml:space="preserve"> at the described premises. The loss or damage must be caused by or result from a Covered Cause of Loss.</w:t>
      </w:r>
      <w:r w:rsidRPr="006511ED" w:rsidR="006B433C">
        <w:t xml:space="preserve"> </w:t>
      </w:r>
    </w:p>
    <w:p w:rsidR="00196FDF" w:rsidRPr="00D231FE" w:rsidP="00196FDF">
      <w:pPr>
        <w:pStyle w:val="20spLeft-Right1"/>
        <w:spacing w:after="240"/>
      </w:pPr>
      <w:r w:rsidRPr="00D231FE">
        <w:t>(</w:t>
      </w:r>
      <w:r w:rsidRPr="00D231FE" w:rsidR="00600A8C">
        <w:t>E</w:t>
      </w:r>
      <w:r w:rsidRPr="00D231FE">
        <w:t>mphasis added</w:t>
      </w:r>
      <w:r w:rsidRPr="00D231FE" w:rsidR="00600A8C">
        <w:t>.</w:t>
      </w:r>
      <w:r w:rsidRPr="00D231FE">
        <w:t>)</w:t>
      </w:r>
    </w:p>
    <w:p w:rsidR="005B6DF9" w:rsidRPr="006511ED" w:rsidP="00196FDF">
      <w:pPr>
        <w:pStyle w:val="20sp0"/>
        <w:spacing w:after="240"/>
      </w:pPr>
      <w:r w:rsidRPr="006511ED">
        <w:t xml:space="preserve">Judge </w:t>
      </w:r>
      <w:r w:rsidRPr="006511ED">
        <w:t>Tigar</w:t>
      </w:r>
      <w:r w:rsidRPr="006511ED">
        <w:t xml:space="preserve">, relying on </w:t>
      </w:r>
      <w:r w:rsidRPr="006511ED" w:rsidR="00EF73C8">
        <w:rPr>
          <w:i/>
        </w:rPr>
        <w:t>MRI Healthcare Center of Glendale, Inc. v. State Farm General Ins.</w:t>
      </w:r>
      <w:r w:rsidRPr="006511ED" w:rsidR="00EF73C8">
        <w:t xml:space="preserve"> Co.</w:t>
      </w:r>
      <w:r>
        <w:rPr>
          <w:rStyle w:val="FootnoteReference"/>
        </w:rPr>
        <w:footnoteReference w:id="8"/>
      </w:r>
      <w:r w:rsidRPr="006511ED">
        <w:t xml:space="preserve">, </w:t>
      </w:r>
      <w:r w:rsidRPr="006511ED" w:rsidR="00D231FE">
        <w:t xml:space="preserve">distinguished </w:t>
      </w:r>
      <w:r w:rsidRPr="006511ED">
        <w:t xml:space="preserve">between the loss “of” property as opposed to </w:t>
      </w:r>
      <w:r w:rsidRPr="006511ED" w:rsidR="006B433C">
        <w:t>a</w:t>
      </w:r>
      <w:r w:rsidRPr="006511ED">
        <w:t xml:space="preserve"> loss “to” property, reasoning that “</w:t>
      </w:r>
      <w:r w:rsidR="006B04ED">
        <w:t xml:space="preserve"> </w:t>
      </w:r>
      <w:r w:rsidRPr="006511ED">
        <w:t>‘</w:t>
      </w:r>
      <w:r w:rsidR="006B04ED">
        <w:t xml:space="preserve"> </w:t>
      </w:r>
      <w:r w:rsidRPr="006511ED">
        <w:t>“loss of</w:t>
      </w:r>
      <w:r w:rsidRPr="006511ED" w:rsidR="00266340">
        <w:t>”</w:t>
      </w:r>
      <w:r w:rsidRPr="006511ED">
        <w:t xml:space="preserve"> property contemplates that property is misplaced and unrecoverable, without regard to whether it is damage.’</w:t>
      </w:r>
      <w:r w:rsidR="006B04ED">
        <w:t xml:space="preserve"> </w:t>
      </w:r>
      <w:r w:rsidRPr="006511ED">
        <w:t xml:space="preserve">” </w:t>
      </w:r>
      <w:r w:rsidRPr="006511ED" w:rsidR="00266340">
        <w:t xml:space="preserve">“damage to” </w:t>
      </w:r>
      <w:r w:rsidRPr="006511ED">
        <w:t xml:space="preserve">would render the latter part of </w:t>
      </w:r>
      <w:r w:rsidRPr="006511ED" w:rsidR="006B433C">
        <w:t xml:space="preserve">the </w:t>
      </w:r>
      <w:r w:rsidRPr="006511ED">
        <w:t>coverage</w:t>
      </w:r>
      <w:r w:rsidRPr="006511ED" w:rsidR="006B433C">
        <w:t xml:space="preserve"> </w:t>
      </w:r>
      <w:r w:rsidRPr="006511ED" w:rsidR="004B2755">
        <w:t>stating “or damage to”</w:t>
      </w:r>
      <w:r w:rsidRPr="006511ED">
        <w:t xml:space="preserve"> meaningless. Thus, coverage for “loss of” property could include the permanent dispossession of the property. </w:t>
      </w:r>
    </w:p>
    <w:p w:rsidR="00196FDF" w:rsidRPr="006511ED" w:rsidP="00196FDF">
      <w:pPr>
        <w:pStyle w:val="20sp0"/>
        <w:spacing w:after="240"/>
      </w:pPr>
      <w:r w:rsidRPr="006511ED">
        <w:t xml:space="preserve">In its complaint, </w:t>
      </w:r>
      <w:r w:rsidRPr="006511ED">
        <w:t>Mudpie</w:t>
      </w:r>
      <w:r w:rsidRPr="006511ED">
        <w:t xml:space="preserve"> alleges that compliance with </w:t>
      </w:r>
      <w:r w:rsidRPr="006511ED" w:rsidR="00BD6269">
        <w:t>s</w:t>
      </w:r>
      <w:r w:rsidRPr="006511ED">
        <w:t>tate and local order</w:t>
      </w:r>
      <w:r w:rsidRPr="006511ED" w:rsidR="00BD6269">
        <w:t>s</w:t>
      </w:r>
      <w:r w:rsidRPr="006511ED">
        <w:t xml:space="preserve"> regarding the coronavirus “has caused direct physical loss of </w:t>
      </w:r>
      <w:r w:rsidRPr="006511ED">
        <w:t>Mudpie's</w:t>
      </w:r>
      <w:r w:rsidRPr="006511ED">
        <w:t xml:space="preserve"> insured property in that the property has been made useless and/or uninhabitable; and its functionality has been severely reduced if not completely or nearly eliminated</w:t>
      </w:r>
      <w:r w:rsidRPr="006511ED" w:rsidR="00B82DD7">
        <w:t xml:space="preserve">.” </w:t>
      </w:r>
      <w:r w:rsidRPr="006511ED" w:rsidR="00B82DD7">
        <w:t>Mudpie</w:t>
      </w:r>
      <w:r w:rsidRPr="006511ED" w:rsidR="00B82DD7">
        <w:t xml:space="preserve"> alleged that this was a “direct physical loss of” its property. </w:t>
      </w:r>
      <w:r w:rsidRPr="006511ED" w:rsidR="00812EE8">
        <w:t xml:space="preserve">However, </w:t>
      </w:r>
      <w:r w:rsidRPr="006511ED">
        <w:t xml:space="preserve">Judge </w:t>
      </w:r>
      <w:r w:rsidRPr="006511ED">
        <w:t>Tigar</w:t>
      </w:r>
      <w:r w:rsidRPr="006511ED">
        <w:t xml:space="preserve"> </w:t>
      </w:r>
      <w:r w:rsidRPr="006511ED" w:rsidR="00B82DD7">
        <w:t>noted</w:t>
      </w:r>
      <w:r w:rsidRPr="006511ED">
        <w:t xml:space="preserve"> that </w:t>
      </w:r>
      <w:r w:rsidRPr="006511ED">
        <w:t>Mudpie</w:t>
      </w:r>
      <w:r w:rsidRPr="006511ED">
        <w:t xml:space="preserve"> was not permanently deprive</w:t>
      </w:r>
      <w:r w:rsidRPr="006511ED" w:rsidR="006B433C">
        <w:t>d</w:t>
      </w:r>
      <w:r w:rsidRPr="006511ED">
        <w:t xml:space="preserve"> of its storefront, but rather only temporary dispossessed while the Stay-At-Home </w:t>
      </w:r>
      <w:r w:rsidR="00D231FE">
        <w:rPr>
          <w:b/>
        </w:rPr>
        <w:t xml:space="preserve"> </w:t>
      </w:r>
      <w:r w:rsidRPr="006511ED">
        <w:t xml:space="preserve">orders were in effect. Thus, </w:t>
      </w:r>
      <w:r w:rsidRPr="006511ED" w:rsidR="006B433C">
        <w:t xml:space="preserve">Judge </w:t>
      </w:r>
      <w:r w:rsidRPr="006511ED" w:rsidR="006B433C">
        <w:t>Tigar</w:t>
      </w:r>
      <w:r w:rsidRPr="006511ED" w:rsidR="006B433C">
        <w:t xml:space="preserve"> concluded, </w:t>
      </w:r>
      <w:r w:rsidRPr="006511ED">
        <w:t>Mudpie</w:t>
      </w:r>
      <w:r w:rsidRPr="006511ED">
        <w:t xml:space="preserve"> </w:t>
      </w:r>
      <w:r w:rsidRPr="006511ED" w:rsidR="006B433C">
        <w:t>did</w:t>
      </w:r>
      <w:r w:rsidRPr="006511ED">
        <w:t xml:space="preserve"> not suffer a “loss of” their property. </w:t>
      </w:r>
    </w:p>
    <w:p w:rsidR="008801C3" w:rsidRPr="008801C3" w:rsidP="008801C3">
      <w:pPr>
        <w:pStyle w:val="Level4"/>
        <w:spacing w:line="480" w:lineRule="auto"/>
        <w:rPr>
          <w:b w:val="0"/>
        </w:rPr>
      </w:pPr>
      <w:r>
        <w:t xml:space="preserve">Coverage Issue: </w:t>
      </w:r>
      <w:r w:rsidRPr="008801C3">
        <w:t>Physi</w:t>
      </w:r>
      <w:r w:rsidR="00BC40CD">
        <w:t xml:space="preserve">cal Loss Must Be Caused By </w:t>
      </w:r>
      <w:r w:rsidR="00BC40CD">
        <w:t>COVID</w:t>
      </w:r>
      <w:r w:rsidRPr="008801C3">
        <w:t>-19</w:t>
      </w:r>
    </w:p>
    <w:p w:rsidR="008D174A" w:rsidRPr="006511ED" w:rsidP="009B22A3">
      <w:pPr>
        <w:pStyle w:val="20sp0"/>
        <w:spacing w:after="240"/>
      </w:pPr>
      <w:r w:rsidRPr="006511ED">
        <w:t xml:space="preserve">Courts have also carefully scrutinized whether </w:t>
      </w:r>
      <w:r w:rsidRPr="006511ED" w:rsidR="006B433C">
        <w:t xml:space="preserve">commercial </w:t>
      </w:r>
      <w:r w:rsidRPr="006511ED">
        <w:t xml:space="preserve">policyholders have actually alleged the </w:t>
      </w:r>
      <w:r w:rsidRPr="006511ED" w:rsidR="006B433C">
        <w:t xml:space="preserve">physical </w:t>
      </w:r>
      <w:r w:rsidR="00BC40CD">
        <w:t xml:space="preserve">presence of </w:t>
      </w:r>
      <w:r w:rsidR="00BC40CD">
        <w:t>COVID</w:t>
      </w:r>
      <w:r w:rsidRPr="006511ED">
        <w:t>-19 in their business</w:t>
      </w:r>
      <w:r w:rsidRPr="006511ED" w:rsidR="006B433C">
        <w:t xml:space="preserve"> as the cause of loss</w:t>
      </w:r>
      <w:r w:rsidRPr="006511ED">
        <w:t xml:space="preserve">. In </w:t>
      </w:r>
      <w:r w:rsidRPr="006511ED">
        <w:rPr>
          <w:i/>
        </w:rPr>
        <w:t>Mudpie</w:t>
      </w:r>
      <w:r w:rsidRPr="006511ED">
        <w:t xml:space="preserve">, Judge </w:t>
      </w:r>
      <w:r w:rsidRPr="006511ED">
        <w:t>Tigar</w:t>
      </w:r>
      <w:r w:rsidRPr="006511ED">
        <w:t xml:space="preserve"> noted that the plaintiff </w:t>
      </w:r>
      <w:r w:rsidRPr="006511ED" w:rsidR="006B433C">
        <w:t xml:space="preserve">did </w:t>
      </w:r>
      <w:r w:rsidRPr="006511ED">
        <w:t>not allege t</w:t>
      </w:r>
      <w:r w:rsidR="00BC40CD">
        <w:t xml:space="preserve">hat the actual presence of </w:t>
      </w:r>
      <w:r w:rsidR="00BC40CD">
        <w:t>COVID</w:t>
      </w:r>
      <w:r w:rsidRPr="006511ED">
        <w:t xml:space="preserve">-19 caused a loss, but rather </w:t>
      </w:r>
      <w:r w:rsidRPr="006511ED" w:rsidR="006B433C">
        <w:t xml:space="preserve">alleged that the loss was due to </w:t>
      </w:r>
      <w:r w:rsidRPr="006511ED">
        <w:t xml:space="preserve">the business’s compliance with a </w:t>
      </w:r>
      <w:r w:rsidRPr="006511ED" w:rsidR="00F028BA">
        <w:t>Stay-At-Home</w:t>
      </w:r>
      <w:r w:rsidRPr="006511ED">
        <w:t xml:space="preserve"> order.</w:t>
      </w:r>
      <w:r>
        <w:rPr>
          <w:rStyle w:val="FootnoteReference"/>
        </w:rPr>
        <w:footnoteReference w:id="9"/>
      </w:r>
      <w:r w:rsidRPr="006511ED">
        <w:t xml:space="preserve"> Another District Court in Northern California likewise dismissed a </w:t>
      </w:r>
      <w:r w:rsidRPr="006511ED" w:rsidR="006B433C">
        <w:t xml:space="preserve">complaint </w:t>
      </w:r>
      <w:r w:rsidRPr="006511ED">
        <w:t xml:space="preserve">where the policyholder alleged </w:t>
      </w:r>
      <w:r w:rsidRPr="006511ED">
        <w:t>an “imminent threat” of coronavirus .</w:t>
      </w:r>
      <w:r>
        <w:rPr>
          <w:rStyle w:val="FootnoteReference"/>
        </w:rPr>
        <w:footnoteReference w:id="10"/>
      </w:r>
      <w:r w:rsidRPr="006511ED">
        <w:t xml:space="preserve"> However, </w:t>
      </w:r>
      <w:r w:rsidRPr="006511ED" w:rsidR="006B433C">
        <w:t xml:space="preserve">in cases </w:t>
      </w:r>
      <w:r w:rsidRPr="006511ED">
        <w:t>where the policyholder has been able to allege the actual presence of coronavirus in their business causing the business to close, courts have generally found that there has been a “physical loss” of the property.</w:t>
      </w:r>
      <w:r>
        <w:rPr>
          <w:rStyle w:val="FootnoteReference"/>
        </w:rPr>
        <w:footnoteReference w:id="11"/>
      </w:r>
      <w:r w:rsidRPr="006511ED">
        <w:t xml:space="preserve"> </w:t>
      </w:r>
    </w:p>
    <w:p w:rsidR="008E21BB" w:rsidP="00CC6AFA">
      <w:pPr>
        <w:pStyle w:val="Level4"/>
      </w:pPr>
      <w:r>
        <w:t>Coverage Issue: Civil Unrest Coverage</w:t>
      </w:r>
    </w:p>
    <w:p w:rsidR="008E21BB" w:rsidRPr="006511ED" w:rsidP="008E21BB">
      <w:pPr>
        <w:pStyle w:val="20sp0"/>
      </w:pPr>
      <w:r w:rsidRPr="006511ED">
        <w:t xml:space="preserve">An unmistakable trend of the last year was amount of protests that occurred in the United States, ranging from protests surrounding the death of George Floyd to the recent event which occurred in Washington D.C. Although most commercial property insurance claims will cover damage due to civil unrest, coronavirus closure orders will complicate the issue. </w:t>
      </w:r>
      <w:r w:rsidRPr="006511ED" w:rsidR="009C429E">
        <w:t>For example, if a business is currently close</w:t>
      </w:r>
      <w:r w:rsidRPr="006511ED" w:rsidR="00202B37">
        <w:t>d due to the coronavirus, how does one</w:t>
      </w:r>
      <w:r w:rsidRPr="006511ED" w:rsidR="009C429E">
        <w:t xml:space="preserve"> quantify its losses?</w:t>
      </w:r>
      <w:r>
        <w:rPr>
          <w:rStyle w:val="FootnoteReference"/>
        </w:rPr>
        <w:footnoteReference w:id="12"/>
      </w:r>
      <w:r w:rsidRPr="006511ED" w:rsidR="009C429E">
        <w:t xml:space="preserve"> Insurers will likely argue for a valuation model which looks at the business activity immediately before the loss while insureds will like want a model which looks at their standard of loss for a given month.</w:t>
      </w:r>
    </w:p>
    <w:p w:rsidR="008801C3" w:rsidRPr="008801C3" w:rsidP="008801C3">
      <w:pPr>
        <w:pStyle w:val="Level4"/>
        <w:rPr>
          <w:b w:val="0"/>
        </w:rPr>
      </w:pPr>
      <w:r>
        <w:t xml:space="preserve">Coverage Issue: </w:t>
      </w:r>
      <w:r w:rsidRPr="008801C3">
        <w:t>The “Virus Exclusion</w:t>
      </w:r>
      <w:r>
        <w:t>”</w:t>
      </w:r>
    </w:p>
    <w:p w:rsidR="006B433C" w:rsidP="009B22A3">
      <w:pPr>
        <w:pStyle w:val="20sp0"/>
        <w:spacing w:after="240"/>
      </w:pPr>
      <w:r>
        <w:t>Many property insurance policies contain a so-called “virus exclusion” for loss resulting from a virus similar to the following:</w:t>
      </w:r>
    </w:p>
    <w:p w:rsidR="003756FB" w:rsidRPr="006511ED" w:rsidP="003756FB">
      <w:pPr>
        <w:pStyle w:val="20spLeft-Right1"/>
      </w:pPr>
      <w:r w:rsidRPr="006511ED">
        <w:t>[L]</w:t>
      </w:r>
      <w:r w:rsidRPr="006511ED">
        <w:t>oss</w:t>
      </w:r>
      <w:r w:rsidRPr="006511ED">
        <w:t xml:space="preserve"> or damage caused “directly or indirectly” by “[a]</w:t>
      </w:r>
      <w:r w:rsidRPr="006511ED">
        <w:t>ny</w:t>
      </w:r>
      <w:r w:rsidRPr="006511ED">
        <w:t xml:space="preserve"> virus, bacterium or other microorganism that induces or is capable of inducing physical distress, illness or disease.”</w:t>
      </w:r>
      <w:r>
        <w:rPr>
          <w:rStyle w:val="FootnoteReference"/>
        </w:rPr>
        <w:footnoteReference w:id="13"/>
      </w:r>
    </w:p>
    <w:p w:rsidR="004A5DD3" w:rsidP="009B22A3">
      <w:pPr>
        <w:pStyle w:val="20sp0"/>
        <w:spacing w:after="240"/>
      </w:pPr>
      <w:r>
        <w:t xml:space="preserve">Insurers appear to be winning the majority of </w:t>
      </w:r>
      <w:r w:rsidR="006B433C">
        <w:t xml:space="preserve">coverage </w:t>
      </w:r>
      <w:r>
        <w:t>lawsuits</w:t>
      </w:r>
      <w:r w:rsidR="006B433C">
        <w:t xml:space="preserve"> brought based on the virus exclusion</w:t>
      </w:r>
      <w:r>
        <w:t xml:space="preserve"> as shown by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2340"/>
        <w:gridCol w:w="2155"/>
      </w:tblGrid>
      <w:tr w:rsidTr="00E23CE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4230" w:type="dxa"/>
          </w:tcPr>
          <w:p w:rsidR="00BF4B0E" w:rsidRPr="002B5787" w:rsidP="009B22A3">
            <w:pPr>
              <w:spacing w:after="240" w:line="480" w:lineRule="auto"/>
              <w:jc w:val="center"/>
              <w:rPr>
                <w:rFonts w:eastAsia="SimSun"/>
                <w:szCs w:val="24"/>
              </w:rPr>
            </w:pPr>
          </w:p>
        </w:tc>
        <w:tc>
          <w:tcPr>
            <w:tcW w:w="2340" w:type="dxa"/>
          </w:tcPr>
          <w:p w:rsidR="00BF4B0E" w:rsidRPr="002B5787" w:rsidP="009B22A3">
            <w:pPr>
              <w:spacing w:after="240" w:line="480" w:lineRule="auto"/>
              <w:jc w:val="center"/>
              <w:rPr>
                <w:rFonts w:eastAsia="SimSun"/>
                <w:szCs w:val="24"/>
              </w:rPr>
            </w:pPr>
            <w:r w:rsidRPr="002B5787">
              <w:rPr>
                <w:rFonts w:eastAsia="SimSun"/>
                <w:szCs w:val="24"/>
              </w:rPr>
              <w:t>Virus Exclusion in Policy</w:t>
            </w:r>
          </w:p>
        </w:tc>
        <w:tc>
          <w:tcPr>
            <w:tcW w:w="2155" w:type="dxa"/>
          </w:tcPr>
          <w:p w:rsidR="00BF4B0E" w:rsidRPr="002B5787" w:rsidP="00E23CE0">
            <w:pPr>
              <w:spacing w:after="240" w:line="480" w:lineRule="auto"/>
              <w:jc w:val="center"/>
              <w:rPr>
                <w:rFonts w:eastAsia="SimSun"/>
                <w:szCs w:val="24"/>
              </w:rPr>
            </w:pPr>
            <w:r w:rsidRPr="002B5787">
              <w:rPr>
                <w:rFonts w:eastAsia="SimSun"/>
                <w:szCs w:val="24"/>
              </w:rPr>
              <w:t xml:space="preserve">No Virus Exclusion </w:t>
            </w:r>
          </w:p>
        </w:tc>
      </w:tr>
      <w:tr w:rsidTr="00E23CE0">
        <w:tblPrEx>
          <w:tblW w:w="0" w:type="auto"/>
          <w:jc w:val="center"/>
          <w:tblLook w:val="0000"/>
        </w:tblPrEx>
        <w:trPr>
          <w:jc w:val="center"/>
        </w:trPr>
        <w:tc>
          <w:tcPr>
            <w:tcW w:w="4230" w:type="dxa"/>
          </w:tcPr>
          <w:p w:rsidR="00BF4B0E" w:rsidRPr="00ED143D" w:rsidP="009B22A3">
            <w:pPr>
              <w:spacing w:after="240" w:line="480" w:lineRule="auto"/>
              <w:jc w:val="center"/>
              <w:rPr>
                <w:rFonts w:eastAsia="SimSun"/>
                <w:szCs w:val="24"/>
              </w:rPr>
            </w:pPr>
            <w:r w:rsidRPr="00ED143D">
              <w:rPr>
                <w:rFonts w:eastAsia="SimSun"/>
                <w:szCs w:val="24"/>
              </w:rPr>
              <w:t>Motion to Dismiss Granted</w:t>
            </w:r>
          </w:p>
        </w:tc>
        <w:tc>
          <w:tcPr>
            <w:tcW w:w="2340" w:type="dxa"/>
          </w:tcPr>
          <w:p w:rsidR="00BF4B0E" w:rsidRPr="00ED143D" w:rsidP="009B22A3">
            <w:pPr>
              <w:spacing w:after="240" w:line="480" w:lineRule="auto"/>
              <w:jc w:val="center"/>
              <w:rPr>
                <w:rFonts w:eastAsia="SimSun"/>
                <w:szCs w:val="24"/>
              </w:rPr>
            </w:pPr>
            <w:r w:rsidRPr="00ED143D">
              <w:rPr>
                <w:rFonts w:eastAsia="SimSun"/>
                <w:szCs w:val="24"/>
              </w:rPr>
              <w:t>84</w:t>
            </w:r>
          </w:p>
        </w:tc>
        <w:tc>
          <w:tcPr>
            <w:tcW w:w="2155" w:type="dxa"/>
          </w:tcPr>
          <w:p w:rsidR="00BF4B0E" w:rsidRPr="00ED143D" w:rsidP="009B22A3">
            <w:pPr>
              <w:spacing w:after="240" w:line="480" w:lineRule="auto"/>
              <w:jc w:val="center"/>
              <w:rPr>
                <w:rFonts w:eastAsia="SimSun"/>
                <w:szCs w:val="24"/>
              </w:rPr>
            </w:pPr>
            <w:r w:rsidRPr="00ED143D">
              <w:rPr>
                <w:rFonts w:eastAsia="SimSun"/>
                <w:szCs w:val="24"/>
              </w:rPr>
              <w:t>2</w:t>
            </w:r>
            <w:r w:rsidRPr="00ED143D" w:rsidR="00FB3509">
              <w:rPr>
                <w:rFonts w:eastAsia="SimSun"/>
                <w:szCs w:val="24"/>
              </w:rPr>
              <w:t>9</w:t>
            </w:r>
          </w:p>
        </w:tc>
      </w:tr>
      <w:tr w:rsidTr="00E23CE0">
        <w:tblPrEx>
          <w:tblW w:w="0" w:type="auto"/>
          <w:jc w:val="center"/>
          <w:tblLook w:val="0000"/>
        </w:tblPrEx>
        <w:trPr>
          <w:jc w:val="center"/>
        </w:trPr>
        <w:tc>
          <w:tcPr>
            <w:tcW w:w="4230" w:type="dxa"/>
          </w:tcPr>
          <w:p w:rsidR="00BF4B0E" w:rsidRPr="00ED143D" w:rsidP="009B22A3">
            <w:pPr>
              <w:spacing w:after="240" w:line="480" w:lineRule="auto"/>
              <w:jc w:val="center"/>
              <w:rPr>
                <w:rFonts w:eastAsia="SimSun"/>
                <w:szCs w:val="24"/>
              </w:rPr>
            </w:pPr>
            <w:r w:rsidRPr="00ED143D">
              <w:rPr>
                <w:rFonts w:eastAsia="SimSun"/>
                <w:szCs w:val="24"/>
              </w:rPr>
              <w:t>Motion to Dismiss Denied</w:t>
            </w:r>
          </w:p>
        </w:tc>
        <w:tc>
          <w:tcPr>
            <w:tcW w:w="2340" w:type="dxa"/>
          </w:tcPr>
          <w:p w:rsidR="00BF4B0E" w:rsidRPr="00ED143D" w:rsidP="009B22A3">
            <w:pPr>
              <w:spacing w:after="240" w:line="480" w:lineRule="auto"/>
              <w:jc w:val="center"/>
              <w:rPr>
                <w:rFonts w:eastAsia="SimSun"/>
                <w:szCs w:val="24"/>
              </w:rPr>
            </w:pPr>
            <w:r w:rsidRPr="00ED143D">
              <w:rPr>
                <w:rFonts w:eastAsia="SimSun"/>
                <w:szCs w:val="24"/>
              </w:rPr>
              <w:t>1</w:t>
            </w:r>
            <w:r w:rsidRPr="00ED143D" w:rsidR="00FB3509">
              <w:rPr>
                <w:rFonts w:eastAsia="SimSun"/>
                <w:szCs w:val="24"/>
              </w:rPr>
              <w:t>3</w:t>
            </w:r>
          </w:p>
        </w:tc>
        <w:tc>
          <w:tcPr>
            <w:tcW w:w="2155" w:type="dxa"/>
          </w:tcPr>
          <w:p w:rsidR="00BF4B0E" w:rsidRPr="00ED143D" w:rsidP="009B22A3">
            <w:pPr>
              <w:spacing w:after="240" w:line="480" w:lineRule="auto"/>
              <w:jc w:val="center"/>
              <w:rPr>
                <w:rFonts w:eastAsia="SimSun"/>
                <w:szCs w:val="24"/>
              </w:rPr>
            </w:pPr>
            <w:r w:rsidRPr="00ED143D">
              <w:rPr>
                <w:rFonts w:eastAsia="SimSun"/>
                <w:szCs w:val="24"/>
              </w:rPr>
              <w:t>1</w:t>
            </w:r>
            <w:r w:rsidRPr="00ED143D" w:rsidR="00FB3509">
              <w:rPr>
                <w:rFonts w:eastAsia="SimSun"/>
                <w:szCs w:val="24"/>
              </w:rPr>
              <w:t>4</w:t>
            </w:r>
          </w:p>
        </w:tc>
      </w:tr>
      <w:tr w:rsidTr="00E23CE0">
        <w:tblPrEx>
          <w:tblW w:w="0" w:type="auto"/>
          <w:jc w:val="center"/>
          <w:tblLook w:val="0000"/>
        </w:tblPrEx>
        <w:trPr>
          <w:jc w:val="center"/>
        </w:trPr>
        <w:tc>
          <w:tcPr>
            <w:tcW w:w="4230" w:type="dxa"/>
          </w:tcPr>
          <w:p w:rsidR="00BF4B0E" w:rsidRPr="00ED143D" w:rsidP="009B22A3">
            <w:pPr>
              <w:spacing w:after="240" w:line="480" w:lineRule="auto"/>
              <w:jc w:val="center"/>
              <w:rPr>
                <w:rFonts w:eastAsia="SimSun"/>
                <w:szCs w:val="24"/>
              </w:rPr>
            </w:pPr>
            <w:r w:rsidRPr="00ED143D">
              <w:rPr>
                <w:rFonts w:eastAsia="SimSun"/>
                <w:szCs w:val="24"/>
              </w:rPr>
              <w:t>Insurer Motion for Summary Judgment Granted</w:t>
            </w:r>
          </w:p>
        </w:tc>
        <w:tc>
          <w:tcPr>
            <w:tcW w:w="2340" w:type="dxa"/>
          </w:tcPr>
          <w:p w:rsidR="00BF4B0E" w:rsidRPr="00ED143D" w:rsidP="009B22A3">
            <w:pPr>
              <w:spacing w:after="240" w:line="480" w:lineRule="auto"/>
              <w:jc w:val="center"/>
              <w:rPr>
                <w:rFonts w:eastAsia="SimSun"/>
                <w:szCs w:val="24"/>
              </w:rPr>
            </w:pPr>
            <w:r w:rsidRPr="00ED143D">
              <w:rPr>
                <w:rFonts w:eastAsia="SimSun"/>
                <w:szCs w:val="24"/>
              </w:rPr>
              <w:t>5</w:t>
            </w:r>
          </w:p>
        </w:tc>
        <w:tc>
          <w:tcPr>
            <w:tcW w:w="2155" w:type="dxa"/>
          </w:tcPr>
          <w:p w:rsidR="00BF4B0E" w:rsidRPr="00ED143D" w:rsidP="009B22A3">
            <w:pPr>
              <w:spacing w:after="240" w:line="480" w:lineRule="auto"/>
              <w:jc w:val="center"/>
              <w:rPr>
                <w:rFonts w:eastAsia="SimSun"/>
                <w:szCs w:val="24"/>
              </w:rPr>
            </w:pPr>
            <w:r w:rsidRPr="00ED143D">
              <w:rPr>
                <w:rFonts w:eastAsia="SimSun"/>
                <w:szCs w:val="24"/>
              </w:rPr>
              <w:t>1</w:t>
            </w:r>
          </w:p>
        </w:tc>
      </w:tr>
      <w:tr w:rsidTr="00E23CE0">
        <w:tblPrEx>
          <w:tblW w:w="0" w:type="auto"/>
          <w:jc w:val="center"/>
          <w:tblLook w:val="0000"/>
        </w:tblPrEx>
        <w:trPr>
          <w:trHeight w:val="719"/>
          <w:jc w:val="center"/>
        </w:trPr>
        <w:tc>
          <w:tcPr>
            <w:tcW w:w="4230" w:type="dxa"/>
          </w:tcPr>
          <w:p w:rsidR="00BF4B0E" w:rsidRPr="00ED143D" w:rsidP="009B22A3">
            <w:pPr>
              <w:spacing w:after="240" w:line="480" w:lineRule="auto"/>
              <w:jc w:val="center"/>
              <w:rPr>
                <w:rFonts w:eastAsia="SimSun"/>
                <w:szCs w:val="24"/>
              </w:rPr>
            </w:pPr>
            <w:r w:rsidRPr="00ED143D">
              <w:rPr>
                <w:rFonts w:eastAsia="SimSun"/>
                <w:szCs w:val="24"/>
              </w:rPr>
              <w:t>Policyholder Motion for Summary Judgment Granted</w:t>
            </w:r>
          </w:p>
        </w:tc>
        <w:tc>
          <w:tcPr>
            <w:tcW w:w="2340" w:type="dxa"/>
          </w:tcPr>
          <w:p w:rsidR="00BF4B0E" w:rsidRPr="00ED143D" w:rsidP="009B22A3">
            <w:pPr>
              <w:spacing w:after="240" w:line="480" w:lineRule="auto"/>
              <w:jc w:val="center"/>
              <w:rPr>
                <w:rFonts w:eastAsia="SimSun"/>
                <w:szCs w:val="24"/>
              </w:rPr>
            </w:pPr>
            <w:r w:rsidRPr="00ED143D">
              <w:rPr>
                <w:rFonts w:eastAsia="SimSun"/>
                <w:szCs w:val="24"/>
              </w:rPr>
              <w:t>1</w:t>
            </w:r>
          </w:p>
        </w:tc>
        <w:tc>
          <w:tcPr>
            <w:tcW w:w="2155" w:type="dxa"/>
          </w:tcPr>
          <w:p w:rsidR="00BF4B0E" w:rsidRPr="00ED143D" w:rsidP="009B22A3">
            <w:pPr>
              <w:spacing w:after="240" w:line="480" w:lineRule="auto"/>
              <w:jc w:val="center"/>
              <w:rPr>
                <w:rFonts w:eastAsia="SimSun"/>
                <w:szCs w:val="24"/>
              </w:rPr>
            </w:pPr>
            <w:r w:rsidRPr="00ED143D">
              <w:rPr>
                <w:rFonts w:eastAsia="SimSun"/>
                <w:szCs w:val="24"/>
              </w:rPr>
              <w:t>1</w:t>
            </w:r>
          </w:p>
        </w:tc>
      </w:tr>
    </w:tbl>
    <w:p w:rsidR="00BF4B0E" w:rsidP="009B22A3">
      <w:pPr>
        <w:pStyle w:val="20sp0"/>
        <w:spacing w:after="240"/>
        <w:jc w:val="right"/>
      </w:pPr>
      <w:r>
        <w:rPr>
          <w:rStyle w:val="FootnoteReference"/>
        </w:rPr>
        <w:footnoteReference w:id="14"/>
      </w:r>
    </w:p>
    <w:p w:rsidR="00393ED0" w:rsidP="009B22A3">
      <w:pPr>
        <w:pStyle w:val="20sp0"/>
        <w:spacing w:after="240"/>
      </w:pPr>
      <w:r w:rsidRPr="0054178D">
        <w:rPr>
          <w:rFonts w:eastAsiaTheme="minorHAnsi"/>
          <w:szCs w:val="22"/>
        </w:rPr>
        <w:t>At least one Federal district court</w:t>
      </w:r>
      <w:r w:rsidRPr="0054178D" w:rsidR="006511ED">
        <w:rPr>
          <w:rFonts w:eastAsiaTheme="minorHAnsi"/>
          <w:szCs w:val="22"/>
        </w:rPr>
        <w:t xml:space="preserve"> </w:t>
      </w:r>
      <w:r w:rsidRPr="0054178D">
        <w:rPr>
          <w:rFonts w:eastAsiaTheme="minorHAnsi"/>
          <w:szCs w:val="22"/>
        </w:rPr>
        <w:t xml:space="preserve">has rejected an insurer’s claim that a </w:t>
      </w:r>
      <w:r w:rsidRPr="0054178D" w:rsidR="006B433C">
        <w:rPr>
          <w:rFonts w:eastAsiaTheme="minorHAnsi"/>
          <w:szCs w:val="22"/>
        </w:rPr>
        <w:t>v</w:t>
      </w:r>
      <w:r w:rsidRPr="0054178D">
        <w:rPr>
          <w:rFonts w:eastAsiaTheme="minorHAnsi"/>
          <w:szCs w:val="22"/>
        </w:rPr>
        <w:t xml:space="preserve">irus exclusion precluded coverage for business interruption insurance. </w:t>
      </w:r>
      <w:r w:rsidRPr="0054178D" w:rsidR="006B433C">
        <w:rPr>
          <w:rFonts w:eastAsiaTheme="minorHAnsi"/>
          <w:szCs w:val="22"/>
        </w:rPr>
        <w:t>In</w:t>
      </w:r>
      <w:r w:rsidRPr="0054178D" w:rsidR="006B433C">
        <w:rPr>
          <w:rFonts w:eastAsiaTheme="minorHAnsi"/>
          <w:i/>
          <w:szCs w:val="22"/>
        </w:rPr>
        <w:t xml:space="preserve"> </w:t>
      </w:r>
      <w:r w:rsidRPr="0054178D" w:rsidR="006B433C">
        <w:rPr>
          <w:i/>
        </w:rPr>
        <w:t>Elegant Massage, LLC v. State Farm Mutual Automobile Insurance Company</w:t>
      </w:r>
      <w:r>
        <w:rPr>
          <w:rFonts w:eastAsiaTheme="minorHAnsi"/>
          <w:szCs w:val="22"/>
          <w:vertAlign w:val="superscript"/>
        </w:rPr>
        <w:footnoteReference w:id="15"/>
      </w:r>
      <w:r w:rsidRPr="0054178D" w:rsidR="006B433C">
        <w:rPr>
          <w:rFonts w:eastAsiaTheme="minorHAnsi"/>
          <w:szCs w:val="22"/>
        </w:rPr>
        <w:t xml:space="preserve">  </w:t>
      </w:r>
      <w:r w:rsidRPr="0054178D">
        <w:rPr>
          <w:rFonts w:eastAsiaTheme="minorHAnsi"/>
          <w:szCs w:val="22"/>
        </w:rPr>
        <w:t xml:space="preserve">the insured “neither </w:t>
      </w:r>
      <w:r w:rsidRPr="0054178D">
        <w:rPr>
          <w:rFonts w:eastAsiaTheme="minorHAnsi"/>
          <w:szCs w:val="22"/>
        </w:rPr>
        <w:t>alleg</w:t>
      </w:r>
      <w:r w:rsidRPr="0054178D">
        <w:rPr>
          <w:rFonts w:eastAsiaTheme="minorHAnsi"/>
          <w:szCs w:val="22"/>
        </w:rPr>
        <w:t>[</w:t>
      </w:r>
      <w:r w:rsidRPr="0054178D">
        <w:rPr>
          <w:rFonts w:eastAsiaTheme="minorHAnsi"/>
          <w:szCs w:val="22"/>
        </w:rPr>
        <w:t>ed</w:t>
      </w:r>
      <w:r w:rsidRPr="0054178D">
        <w:rPr>
          <w:rFonts w:eastAsiaTheme="minorHAnsi"/>
          <w:szCs w:val="22"/>
        </w:rPr>
        <w:t xml:space="preserve">] that there is a presence of a virus at the covered property nor that a virus is the direct cause of the property's physical loss” but rather </w:t>
      </w:r>
      <w:r w:rsidRPr="0054178D" w:rsidR="006B433C">
        <w:rPr>
          <w:rFonts w:eastAsiaTheme="minorHAnsi"/>
          <w:szCs w:val="22"/>
        </w:rPr>
        <w:t xml:space="preserve">alleged </w:t>
      </w:r>
      <w:r w:rsidRPr="0054178D">
        <w:rPr>
          <w:rFonts w:eastAsiaTheme="minorHAnsi"/>
          <w:szCs w:val="22"/>
        </w:rPr>
        <w:t xml:space="preserve">that the loss was due to the state’s </w:t>
      </w:r>
      <w:r w:rsidRPr="0054178D" w:rsidR="00F028BA">
        <w:rPr>
          <w:rFonts w:eastAsiaTheme="minorHAnsi"/>
          <w:szCs w:val="22"/>
        </w:rPr>
        <w:t>Stay-At-Home</w:t>
      </w:r>
      <w:r w:rsidRPr="0054178D">
        <w:rPr>
          <w:rFonts w:eastAsiaTheme="minorHAnsi"/>
          <w:szCs w:val="22"/>
        </w:rPr>
        <w:t xml:space="preserve"> order. Further, the court noted that the plaintiff’s property, a spa, was designated a “hotspot” for coronavirus and selectively restricted from reopening. These factors led the court to hold that the insurer failed to meet its burden in </w:t>
      </w:r>
      <w:r w:rsidRPr="0054178D">
        <w:rPr>
          <w:rFonts w:eastAsiaTheme="minorHAnsi"/>
          <w:szCs w:val="22"/>
        </w:rPr>
        <w:t xml:space="preserve">proving the “Virus” exclusion applies. </w:t>
      </w:r>
      <w:r w:rsidRPr="0054178D" w:rsidR="006B433C">
        <w:rPr>
          <w:rFonts w:eastAsiaTheme="minorHAnsi"/>
          <w:szCs w:val="22"/>
        </w:rPr>
        <w:t>In so holding, however, the court in</w:t>
      </w:r>
      <w:r w:rsidRPr="0054178D" w:rsidR="006B433C">
        <w:rPr>
          <w:rFonts w:eastAsiaTheme="minorHAnsi"/>
          <w:i/>
          <w:szCs w:val="22"/>
        </w:rPr>
        <w:t xml:space="preserve"> </w:t>
      </w:r>
      <w:r w:rsidRPr="0054178D" w:rsidR="006B433C">
        <w:rPr>
          <w:i/>
        </w:rPr>
        <w:t xml:space="preserve">Elegant Massage, LLC </w:t>
      </w:r>
      <w:r w:rsidRPr="0054178D" w:rsidR="006B433C">
        <w:t xml:space="preserve">did not address the question of whether the virus exclusion is applicable to bar a </w:t>
      </w:r>
      <w:r w:rsidRPr="0054178D" w:rsidR="006B433C">
        <w:t>COVID</w:t>
      </w:r>
      <w:r w:rsidRPr="0054178D" w:rsidR="006B433C">
        <w:t xml:space="preserve">-19 claim. </w:t>
      </w:r>
      <w:r w:rsidRPr="0054178D" w:rsidR="00FA5397">
        <w:t xml:space="preserve">Presently, there have been </w:t>
      </w:r>
      <w:r w:rsidRPr="0054178D" w:rsidR="006B433C">
        <w:t xml:space="preserve">at least </w:t>
      </w:r>
      <w:r w:rsidRPr="0054178D" w:rsidR="00FA5397">
        <w:t xml:space="preserve">11 appeals </w:t>
      </w:r>
      <w:r w:rsidRPr="0054178D" w:rsidR="006B433C">
        <w:t>by</w:t>
      </w:r>
      <w:r w:rsidRPr="0054178D" w:rsidR="00FA5397">
        <w:t xml:space="preserve"> policyholders </w:t>
      </w:r>
      <w:r w:rsidRPr="0054178D" w:rsidR="0060448E">
        <w:t>from denials of coverage</w:t>
      </w:r>
      <w:r w:rsidRPr="0054178D" w:rsidR="006B433C">
        <w:t xml:space="preserve"> based on the virus</w:t>
      </w:r>
      <w:r w:rsidR="006B433C">
        <w:t xml:space="preserve"> exclusion</w:t>
      </w:r>
      <w:r w:rsidR="0060448E">
        <w:t>.</w:t>
      </w:r>
      <w:r>
        <w:rPr>
          <w:rStyle w:val="FootnoteReference"/>
        </w:rPr>
        <w:footnoteReference w:id="16"/>
      </w:r>
    </w:p>
    <w:p w:rsidR="00812EE8" w:rsidRPr="00812EE8" w:rsidP="00812EE8">
      <w:pPr>
        <w:pStyle w:val="Level4"/>
        <w:spacing w:line="480" w:lineRule="auto"/>
        <w:rPr>
          <w:b w:val="0"/>
        </w:rPr>
      </w:pPr>
      <w:r>
        <w:t xml:space="preserve">Coverage Issue: </w:t>
      </w:r>
      <w:r w:rsidRPr="00812EE8">
        <w:t>Civil Authority Coverage</w:t>
      </w:r>
    </w:p>
    <w:p w:rsidR="006B433C" w:rsidRPr="0054178D" w:rsidP="00812EE8">
      <w:pPr>
        <w:pStyle w:val="20sp0"/>
        <w:spacing w:after="240"/>
      </w:pPr>
      <w:r w:rsidRPr="0054178D">
        <w:t>Business</w:t>
      </w:r>
      <w:r w:rsidRPr="0054178D">
        <w:t>es</w:t>
      </w:r>
      <w:r w:rsidRPr="0054178D">
        <w:t xml:space="preserve"> make likewise look to their civil authority coverage to recoup losses related to </w:t>
      </w:r>
      <w:r w:rsidRPr="0054178D">
        <w:t>COVID</w:t>
      </w:r>
      <w:r w:rsidRPr="0054178D">
        <w:t xml:space="preserve">-19. </w:t>
      </w:r>
      <w:r w:rsidRPr="0054178D">
        <w:t xml:space="preserve">A typical civil authority coverage provision states, as follows: </w:t>
      </w:r>
    </w:p>
    <w:p w:rsidR="00301A09" w:rsidRPr="0054178D" w:rsidP="006511ED">
      <w:pPr>
        <w:pStyle w:val="20spLeft-Right1"/>
      </w:pPr>
      <w:r w:rsidRPr="0054178D">
        <w:t>We will pay for the actual loss of Business Income you sustain and necessary Extra Expense caused by action of a civil authority that prohibits a</w:t>
      </w:r>
      <w:r w:rsidRPr="0054178D" w:rsidR="0009008F">
        <w:t>c</w:t>
      </w:r>
      <w:r w:rsidRPr="0054178D">
        <w:t>cess to the describe</w:t>
      </w:r>
      <w:r w:rsidRPr="0054178D" w:rsidR="0009008F">
        <w:t>d</w:t>
      </w:r>
      <w:r w:rsidRPr="0054178D">
        <w:t xml:space="preserve"> premises due to direct physical loss of or damage to property, other than at the describes premises, caused by or resulting from any Covered Cause of Loss.</w:t>
      </w:r>
      <w:r>
        <w:rPr>
          <w:rStyle w:val="FootnoteReference"/>
        </w:rPr>
        <w:footnoteReference w:id="17"/>
      </w:r>
    </w:p>
    <w:p w:rsidR="00812EE8" w:rsidP="00812EE8">
      <w:pPr>
        <w:pStyle w:val="20sp0"/>
        <w:spacing w:after="240"/>
        <w:rPr>
          <w:b/>
        </w:rPr>
      </w:pPr>
      <w:r w:rsidRPr="0054178D">
        <w:t xml:space="preserve">Generally, civil authority coverage is reactive and not prophylactic, meaning that a physical loss or damage must precede the civil action, not the other way around. Where a civil order is put in place to prevent or preclude damage from occurring, but before any damage has actually occurred, courts have repeatedly rejected </w:t>
      </w:r>
      <w:r w:rsidRPr="0054178D" w:rsidR="006B433C">
        <w:t xml:space="preserve">claims </w:t>
      </w:r>
      <w:r w:rsidRPr="0054178D">
        <w:t>that such orders have a causal link to trigger civil authority coverage.</w:t>
      </w:r>
      <w:r>
        <w:rPr>
          <w:rStyle w:val="FootnoteReference"/>
        </w:rPr>
        <w:footnoteReference w:id="18"/>
      </w:r>
      <w:r w:rsidRPr="0054178D">
        <w:t xml:space="preserve"> Again, insurers and government entities should carefully scrutinize a plaintiff’s claim </w:t>
      </w:r>
      <w:r w:rsidRPr="0054178D">
        <w:t xml:space="preserve">to determine the triggering event and whether an government order was issued preventatively or reactively to the </w:t>
      </w:r>
      <w:r w:rsidRPr="0054178D">
        <w:t>COVID</w:t>
      </w:r>
      <w:r w:rsidRPr="0054178D">
        <w:t>-19 outbreak.</w:t>
      </w:r>
      <w:r w:rsidR="006B433C">
        <w:rPr>
          <w:b/>
        </w:rPr>
        <w:t xml:space="preserve"> </w:t>
      </w:r>
    </w:p>
    <w:p w:rsidR="00812EE8" w:rsidRPr="00812EE8" w:rsidP="00812EE8">
      <w:pPr>
        <w:pStyle w:val="Level4"/>
        <w:spacing w:line="480" w:lineRule="auto"/>
        <w:rPr>
          <w:b w:val="0"/>
        </w:rPr>
      </w:pPr>
      <w:r w:rsidRPr="00812EE8">
        <w:t>Legislative Responses to Business Interruption Coverage</w:t>
      </w:r>
    </w:p>
    <w:p w:rsidR="00F512C2" w:rsidRPr="00164D86" w:rsidP="00812EE8">
      <w:pPr>
        <w:pStyle w:val="20sp0"/>
        <w:spacing w:after="240"/>
      </w:pPr>
      <w:r w:rsidRPr="00ED143D">
        <w:t xml:space="preserve">According to a </w:t>
      </w:r>
      <w:r w:rsidRPr="00164D86">
        <w:t xml:space="preserve">report last updated in August 2020, </w:t>
      </w:r>
      <w:r w:rsidRPr="00164D86" w:rsidR="002B5787">
        <w:t xml:space="preserve">in </w:t>
      </w:r>
      <w:r w:rsidRPr="00164D86">
        <w:t xml:space="preserve">ten states, including California, </w:t>
      </w:r>
      <w:r w:rsidRPr="00164D86" w:rsidR="002B5787">
        <w:t xml:space="preserve">legislation has been </w:t>
      </w:r>
      <w:r w:rsidRPr="00164D86">
        <w:t xml:space="preserve">proposed that would require insurers to provide business interruption </w:t>
      </w:r>
      <w:r w:rsidRPr="00164D86" w:rsidR="006B433C">
        <w:t xml:space="preserve">coverage </w:t>
      </w:r>
      <w:r w:rsidRPr="00164D86">
        <w:t xml:space="preserve"> for claims </w:t>
      </w:r>
      <w:r w:rsidRPr="00164D86">
        <w:t>arising out of the coronavirus.</w:t>
      </w:r>
      <w:r>
        <w:rPr>
          <w:rStyle w:val="FootnoteReference"/>
        </w:rPr>
        <w:footnoteReference w:id="19"/>
      </w:r>
      <w:r w:rsidRPr="00164D86">
        <w:t xml:space="preserve"> </w:t>
      </w:r>
      <w:r w:rsidRPr="00164D86" w:rsidR="006B433C">
        <w:t xml:space="preserve">California </w:t>
      </w:r>
      <w:r w:rsidRPr="00164D86">
        <w:t>Assembly Bill 1552</w:t>
      </w:r>
      <w:r>
        <w:rPr>
          <w:rStyle w:val="FootnoteReference"/>
        </w:rPr>
        <w:footnoteReference w:id="20"/>
      </w:r>
      <w:r w:rsidRPr="00164D86">
        <w:t xml:space="preserve"> (“AB 155</w:t>
      </w:r>
      <w:r w:rsidRPr="00164D86" w:rsidR="00353742">
        <w:t>2”)</w:t>
      </w:r>
      <w:r w:rsidRPr="00164D86">
        <w:t xml:space="preserve"> would have create</w:t>
      </w:r>
      <w:r w:rsidRPr="00164D86">
        <w:t xml:space="preserve">d three rebuttable presumptions: </w:t>
      </w:r>
    </w:p>
    <w:p w:rsidR="00F512C2" w:rsidRPr="00164D86" w:rsidP="00F512C2">
      <w:pPr>
        <w:pStyle w:val="ListBullet2"/>
        <w:spacing w:line="480" w:lineRule="auto"/>
      </w:pPr>
      <w:r w:rsidRPr="00164D86">
        <w:t xml:space="preserve">With respect to coverage for general business interruption and extra expenses, a rebuttable presumption applies that </w:t>
      </w:r>
      <w:r w:rsidRPr="00164D86">
        <w:t>COVID</w:t>
      </w:r>
      <w:r w:rsidRPr="00164D86">
        <w:t>-19 was present on the insured’s property and caused physical damage to that property which was the direct cause of the business interruption.</w:t>
      </w:r>
    </w:p>
    <w:p w:rsidR="00F512C2" w:rsidRPr="00164D86" w:rsidP="00F512C2">
      <w:pPr>
        <w:pStyle w:val="ListBullet2"/>
        <w:spacing w:line="480" w:lineRule="auto"/>
      </w:pPr>
      <w:r w:rsidRPr="00164D86">
        <w:t xml:space="preserve">With respect to coverage for business interruption due to an order of civil authority, a rebuttable presumption applies that </w:t>
      </w:r>
      <w:r w:rsidRPr="00164D86">
        <w:t>COVID</w:t>
      </w:r>
      <w:r w:rsidRPr="00164D86">
        <w:t xml:space="preserve">-19 was present on property located within the geographical location covered by the order of civil authority and caused </w:t>
      </w:r>
      <w:r w:rsidRPr="00164D86">
        <w:t>physical damage to that property which was the direct cause of the insured’s business interruption.</w:t>
      </w:r>
    </w:p>
    <w:p w:rsidR="00F512C2" w:rsidRPr="00164D86" w:rsidP="00812EE8">
      <w:pPr>
        <w:pStyle w:val="ListBullet2"/>
        <w:spacing w:line="480" w:lineRule="auto"/>
      </w:pPr>
      <w:r w:rsidRPr="00164D86">
        <w:t xml:space="preserve">With respect to coverage for business interruption due to impairment of ingress and egress, a rebuttable presumption applies that </w:t>
      </w:r>
      <w:r w:rsidRPr="00164D86">
        <w:t>COVID</w:t>
      </w:r>
      <w:r w:rsidRPr="00164D86">
        <w:t>-19 was present on the property of a third party and caused physical damage to that property which was the direct cause that prevented the ingress and egress to the insured’s property and resulted in the insured’s business interruption.</w:t>
      </w:r>
      <w:r>
        <w:rPr>
          <w:rStyle w:val="FootnoteReference"/>
        </w:rPr>
        <w:footnoteReference w:id="21"/>
      </w:r>
      <w:r w:rsidRPr="00164D86" w:rsidR="00812EE8">
        <w:t xml:space="preserve"> </w:t>
      </w:r>
    </w:p>
    <w:p w:rsidR="00F512C2" w:rsidRPr="00164D86" w:rsidP="00F512C2">
      <w:pPr>
        <w:pStyle w:val="20sp0"/>
      </w:pPr>
      <w:r w:rsidRPr="00164D86">
        <w:t>AB 1552 further provided that,</w:t>
      </w:r>
      <w:r w:rsidRPr="00164D86" w:rsidR="008B4246">
        <w:t xml:space="preserve"> while it was not intended to affect the “applicability of any policy provision, including any </w:t>
      </w:r>
      <w:r w:rsidRPr="00164D86" w:rsidR="007E1723">
        <w:t>language addressing loss or damage caused by a virus,</w:t>
      </w:r>
      <w:r w:rsidRPr="00164D86">
        <w:t xml:space="preserve"> </w:t>
      </w:r>
      <w:r w:rsidRPr="00164D86" w:rsidR="00FE6C53">
        <w:t xml:space="preserve"> however “</w:t>
      </w:r>
      <w:r w:rsidRPr="00164D86">
        <w:t>COVID</w:t>
      </w:r>
      <w:r w:rsidRPr="00164D86">
        <w:t xml:space="preserve">-19 </w:t>
      </w:r>
      <w:r w:rsidRPr="00164D86" w:rsidR="00FE6C53">
        <w:t xml:space="preserve">shall not be construed </w:t>
      </w:r>
      <w:r w:rsidRPr="00164D86">
        <w:t xml:space="preserve">as a pollutant or contaminant for purposes of any exclusion within a commercial insurance policy unless viruses are expressly included in that exclusion policy language.” </w:t>
      </w:r>
      <w:r w:rsidRPr="00164D86" w:rsidR="00F21125">
        <w:t>However, AB 1552 did not pass the California State Senate and has not become law.</w:t>
      </w:r>
      <w:r w:rsidRPr="00164D86" w:rsidR="00812EE8">
        <w:t>.</w:t>
      </w:r>
      <w:r>
        <w:rPr>
          <w:rStyle w:val="FootnoteReference"/>
        </w:rPr>
        <w:footnoteReference w:id="22"/>
      </w:r>
      <w:r w:rsidRPr="00164D86" w:rsidR="00812EE8">
        <w:t xml:space="preserve"> </w:t>
      </w:r>
    </w:p>
    <w:p w:rsidR="00242574" w:rsidP="009B22A3">
      <w:pPr>
        <w:pStyle w:val="Level3"/>
        <w:spacing w:line="480" w:lineRule="auto"/>
      </w:pPr>
      <w:r>
        <w:t xml:space="preserve">The Number Of </w:t>
      </w:r>
      <w:r>
        <w:t>Property Insurance Claims May Trend Downward Moving Forward</w:t>
      </w:r>
    </w:p>
    <w:p w:rsidR="00242574" w:rsidRPr="008D174A" w:rsidP="009B22A3">
      <w:pPr>
        <w:pStyle w:val="20sp0"/>
        <w:spacing w:after="240"/>
      </w:pPr>
      <w:r>
        <w:t>There is good evidence to think that the volume of property insurance claims may continue to trend downward as the pandemic stubbornly persists. For example, t</w:t>
      </w:r>
      <w:r w:rsidR="00B610B1">
        <w:t>he ABA Journal note</w:t>
      </w:r>
      <w:r>
        <w:t>d</w:t>
      </w:r>
      <w:r w:rsidR="00B610B1">
        <w:t xml:space="preserve"> that, because of decreased attendance in baseball stadiums, claims against Major League Baseball as well as the</w:t>
      </w:r>
      <w:r>
        <w:t>ir</w:t>
      </w:r>
      <w:r w:rsidR="00B610B1">
        <w:t xml:space="preserve"> respective stadiums will likely see a sharp decline.</w:t>
      </w:r>
      <w:r>
        <w:rPr>
          <w:rStyle w:val="FootnoteReference"/>
        </w:rPr>
        <w:footnoteReference w:id="23"/>
      </w:r>
      <w:r w:rsidR="00B610B1">
        <w:t xml:space="preserve"> </w:t>
      </w:r>
      <w:r w:rsidRPr="008D174A" w:rsidR="000A0014">
        <w:t>This trend is likewise applicable to other business</w:t>
      </w:r>
      <w:r>
        <w:t>,</w:t>
      </w:r>
      <w:r w:rsidRPr="008D174A" w:rsidR="000A0014">
        <w:t xml:space="preserve"> government</w:t>
      </w:r>
      <w:r>
        <w:t>al or quasi-governmental</w:t>
      </w:r>
      <w:r w:rsidRPr="008D174A" w:rsidR="000A0014">
        <w:t xml:space="preserve"> entities which previously </w:t>
      </w:r>
      <w:r>
        <w:t>experienced</w:t>
      </w:r>
      <w:r w:rsidRPr="008D174A">
        <w:t xml:space="preserve"> </w:t>
      </w:r>
      <w:r w:rsidRPr="008D174A" w:rsidR="000A0014">
        <w:t xml:space="preserve">a large </w:t>
      </w:r>
      <w:r w:rsidRPr="008D174A" w:rsidR="000A0014">
        <w:t>amount of public attendance</w:t>
      </w:r>
      <w:r>
        <w:t xml:space="preserve"> and use</w:t>
      </w:r>
      <w:r w:rsidRPr="008D174A" w:rsidR="000A0014">
        <w:t xml:space="preserve">. In 2021, one of the largest unknowns </w:t>
      </w:r>
      <w:r w:rsidRPr="00ED4774" w:rsidR="000A0014">
        <w:t xml:space="preserve">will be the </w:t>
      </w:r>
      <w:r w:rsidRPr="00ED4774" w:rsidR="007F18CC">
        <w:t>adjustments</w:t>
      </w:r>
      <w:r w:rsidRPr="00ED4774" w:rsidR="002F420A">
        <w:t xml:space="preserve"> made</w:t>
      </w:r>
      <w:r w:rsidRPr="00ED4774" w:rsidR="007F18CC">
        <w:t xml:space="preserve"> once </w:t>
      </w:r>
      <w:r w:rsidRPr="00ED4774">
        <w:t xml:space="preserve">such businesses and entities </w:t>
      </w:r>
      <w:r w:rsidRPr="00ED4774" w:rsidR="007F18CC">
        <w:t>begin to reopen.</w:t>
      </w:r>
      <w:r w:rsidRPr="008D174A" w:rsidR="000A0014">
        <w:t xml:space="preserve"> </w:t>
      </w:r>
    </w:p>
    <w:p w:rsidR="005A7AC0" w:rsidP="00CC6AFA">
      <w:pPr>
        <w:pStyle w:val="Level2"/>
      </w:pPr>
      <w:r w:rsidRPr="005A7AC0">
        <w:t>Liability Insurance Market</w:t>
      </w:r>
    </w:p>
    <w:p w:rsidR="005A7AC0" w:rsidP="00CC6AFA">
      <w:pPr>
        <w:pStyle w:val="Level3"/>
      </w:pPr>
      <w:r>
        <w:t>Motor Vehicle</w:t>
      </w:r>
      <w:r>
        <w:t xml:space="preserve"> Insurance</w:t>
      </w:r>
    </w:p>
    <w:p w:rsidR="000C1CC0" w:rsidRPr="000C1CC0" w:rsidP="009B22A3">
      <w:pPr>
        <w:pStyle w:val="Level4"/>
        <w:spacing w:line="480" w:lineRule="auto"/>
      </w:pPr>
      <w:r>
        <w:t>There Are Less Cars On The Road</w:t>
      </w:r>
    </w:p>
    <w:p w:rsidR="005A7AC0" w:rsidP="009B22A3">
      <w:pPr>
        <w:pStyle w:val="20sp0"/>
        <w:spacing w:after="240"/>
      </w:pPr>
      <w:r>
        <w:t>According to t</w:t>
      </w:r>
      <w:r>
        <w:t>he</w:t>
      </w:r>
      <w:r>
        <w:t xml:space="preserve"> Federal Highway Administration</w:t>
      </w:r>
      <w:r>
        <w:t xml:space="preserve"> total cumulative travel for 2020 has decreased 13.9% or 380.7 billion vehicle miles. The cumulative estimate for 2020 is 2,351.9 billion vehicle miles traveled.</w:t>
      </w:r>
      <w:r>
        <w:rPr>
          <w:rStyle w:val="FootnoteReference"/>
        </w:rPr>
        <w:footnoteReference w:id="24"/>
      </w:r>
      <w:r>
        <w:t xml:space="preserve"> T</w:t>
      </w:r>
      <w:r>
        <w:t>he Freight Transportation Services Index, which measures  commercial vehicle travel on the roads, reported a decline in freight traffic beginning in February 2020 but a slight increase in freight traffic since April of 2020.</w:t>
      </w:r>
      <w:r>
        <w:rPr>
          <w:rStyle w:val="FootnoteReference"/>
        </w:rPr>
        <w:footnoteReference w:id="25"/>
      </w:r>
      <w:r>
        <w:t xml:space="preserve"> However, this increase has still not reached the pre-pandemic levels of freight traffic.</w:t>
      </w:r>
    </w:p>
    <w:p w:rsidR="000C1CC0" w:rsidP="009B22A3">
      <w:pPr>
        <w:pStyle w:val="Level4"/>
        <w:spacing w:line="480" w:lineRule="auto"/>
      </w:pPr>
      <w:r>
        <w:t xml:space="preserve">Car Insurance Premiums </w:t>
      </w:r>
      <w:r w:rsidR="00D76ABE">
        <w:t>Decreased in 2020</w:t>
      </w:r>
      <w:r w:rsidR="006B433C">
        <w:t xml:space="preserve"> </w:t>
      </w:r>
    </w:p>
    <w:p w:rsidR="00647523" w:rsidRPr="0054178D" w:rsidP="00647523">
      <w:pPr>
        <w:pStyle w:val="20sp0"/>
        <w:spacing w:after="240"/>
      </w:pPr>
      <w:r>
        <w:t xml:space="preserve">The pandemic and its impact on society in the United States resulted in, among other things, reduced road travel. In October 2020, for example, the four largest states (California, Texas, Florida and New York) experienced an average </w:t>
      </w:r>
      <w:r w:rsidRPr="0054178D">
        <w:t>reduction in road usage of 9.7%.</w:t>
      </w:r>
      <w:r>
        <w:rPr>
          <w:rStyle w:val="FootnoteReference"/>
        </w:rPr>
        <w:footnoteReference w:id="26"/>
      </w:r>
      <w:r w:rsidRPr="0054178D">
        <w:t xml:space="preserve"> </w:t>
      </w:r>
      <w:r w:rsidRPr="0054178D" w:rsidR="00D76ABE">
        <w:t xml:space="preserve">According to a report filed by Progressive with the Michigan Department of Insurance, </w:t>
      </w:r>
      <w:r w:rsidRPr="0054178D">
        <w:t>it</w:t>
      </w:r>
      <w:r w:rsidRPr="0054178D" w:rsidR="00D76ABE">
        <w:t xml:space="preserve"> reported a 28.7% drop in accident claims in March 2020 compared to a year earlier and claims were down 31.9% between February and March of this year.</w:t>
      </w:r>
      <w:r>
        <w:rPr>
          <w:rStyle w:val="FootnoteReference"/>
        </w:rPr>
        <w:footnoteReference w:id="27"/>
      </w:r>
      <w:r w:rsidRPr="0054178D" w:rsidR="00D76ABE">
        <w:t xml:space="preserve"> At th</w:t>
      </w:r>
      <w:r w:rsidRPr="0054178D" w:rsidR="00A91F8D">
        <w:t>e</w:t>
      </w:r>
      <w:r w:rsidRPr="0054178D" w:rsidR="00D76ABE">
        <w:t xml:space="preserve"> same time, Progressive reported net income for April and May of </w:t>
      </w:r>
      <w:r w:rsidRPr="0054178D" w:rsidR="00D76ABE">
        <w:t xml:space="preserve">$1.3 billion. The combination of excess collections and reduced losses </w:t>
      </w:r>
      <w:r w:rsidRPr="0054178D" w:rsidR="00A91F8D">
        <w:t xml:space="preserve">such as that reported by Progressive </w:t>
      </w:r>
      <w:r w:rsidRPr="0054178D" w:rsidR="00D76ABE">
        <w:t>likely led insurers to issue pre</w:t>
      </w:r>
      <w:r w:rsidRPr="0054178D">
        <w:t xml:space="preserve">mium refunds to their insureds. </w:t>
      </w:r>
      <w:r w:rsidRPr="0054178D" w:rsidR="00A91F8D">
        <w:t xml:space="preserve"> </w:t>
      </w:r>
    </w:p>
    <w:p w:rsidR="00647523" w:rsidRPr="0054178D" w:rsidP="00C20FC9">
      <w:pPr>
        <w:pStyle w:val="ListBullet2"/>
        <w:spacing w:line="480" w:lineRule="auto"/>
      </w:pPr>
      <w:r w:rsidRPr="0054178D">
        <w:t>In 2020, the 10 largest auto insurers responded to reduced driving during the pandemic, and therefore fewer claims, by offering drivers a discount on premiums, ranging from 25-50% of their premiums or one-time premium refunds, usually in the amount of $50.</w:t>
      </w:r>
      <w:r>
        <w:rPr>
          <w:rStyle w:val="FootnoteReference"/>
        </w:rPr>
        <w:footnoteReference w:id="28"/>
      </w:r>
    </w:p>
    <w:p w:rsidR="00647523" w:rsidRPr="0054178D" w:rsidP="00C20FC9">
      <w:pPr>
        <w:pStyle w:val="ListBullet2"/>
        <w:spacing w:line="480" w:lineRule="auto"/>
      </w:pPr>
      <w:r w:rsidRPr="0054178D">
        <w:t>In June 2020, the Insurance Information Institute reported that U.S. auto insurers were set to return $14 billion.</w:t>
      </w:r>
      <w:r>
        <w:rPr>
          <w:rStyle w:val="FootnoteReference"/>
        </w:rPr>
        <w:footnoteReference w:id="29"/>
      </w:r>
      <w:r w:rsidRPr="0054178D">
        <w:t xml:space="preserve"> </w:t>
      </w:r>
    </w:p>
    <w:p w:rsidR="00F83216" w:rsidRPr="0054178D" w:rsidP="00C20FC9">
      <w:pPr>
        <w:pStyle w:val="ListBullet2"/>
        <w:spacing w:line="480" w:lineRule="auto"/>
      </w:pPr>
      <w:r w:rsidRPr="0054178D">
        <w:t>The California Department of Insurance has reported that California automobile insurers returned $1.03 billion in premium relief to 18 million policy holders for the months of March, April, and May and are slated to provide an additional relief in the amount of $180 million in future insurance increased which have been reduced.</w:t>
      </w:r>
      <w:r>
        <w:rPr>
          <w:rStyle w:val="FootnoteReference"/>
        </w:rPr>
        <w:footnoteReference w:id="30"/>
      </w:r>
      <w:r w:rsidRPr="0054178D">
        <w:t xml:space="preserve"> </w:t>
      </w:r>
    </w:p>
    <w:p w:rsidR="00D76ABE" w:rsidRPr="00ED4774" w:rsidP="00ED4774">
      <w:pPr>
        <w:pStyle w:val="20sp0"/>
      </w:pPr>
      <w:r w:rsidRPr="0054178D">
        <w:t xml:space="preserve">The net effect of these factors led to a decrease in car insurance premiums by </w:t>
      </w:r>
      <w:r w:rsidRPr="0054178D">
        <w:t xml:space="preserve"> 1.6% nationally in 2020.</w:t>
      </w:r>
      <w:r>
        <w:rPr>
          <w:rStyle w:val="FootnoteReference"/>
        </w:rPr>
        <w:footnoteReference w:id="31"/>
      </w:r>
      <w:r w:rsidRPr="0054178D">
        <w:t xml:space="preserve"> </w:t>
      </w:r>
    </w:p>
    <w:p w:rsidR="000C1CC0" w:rsidP="009B22A3">
      <w:pPr>
        <w:pStyle w:val="Level4"/>
        <w:spacing w:line="480" w:lineRule="auto"/>
      </w:pPr>
      <w:r>
        <w:t>Declining Overall Claims Leads To Increase In Customer Satisfaction</w:t>
      </w:r>
    </w:p>
    <w:p w:rsidR="00671E56" w:rsidP="009B22A3">
      <w:pPr>
        <w:pStyle w:val="20sp0"/>
        <w:spacing w:after="240"/>
      </w:pPr>
      <w:r>
        <w:t xml:space="preserve">According to the J.D. Power 2020 U.S. Auto Claims Satisfaction Study, repairable claims </w:t>
      </w:r>
      <w:r w:rsidR="006B433C">
        <w:t>have</w:t>
      </w:r>
      <w:r>
        <w:t xml:space="preserve"> declined 22% since the pandemic</w:t>
      </w:r>
      <w:r w:rsidR="006B433C">
        <w:t xml:space="preserve"> started</w:t>
      </w:r>
      <w:r>
        <w:t>.</w:t>
      </w:r>
      <w:r>
        <w:rPr>
          <w:rStyle w:val="FootnoteReference"/>
        </w:rPr>
        <w:footnoteReference w:id="32"/>
      </w:r>
      <w:r>
        <w:t xml:space="preserve"> This decline in claims has allowed the industry to catch</w:t>
      </w:r>
      <w:r w:rsidR="006B433C">
        <w:t xml:space="preserve"> </w:t>
      </w:r>
      <w:r>
        <w:t xml:space="preserve">up </w:t>
      </w:r>
      <w:r w:rsidR="006B433C">
        <w:t xml:space="preserve">on claims handling </w:t>
      </w:r>
      <w:r>
        <w:t xml:space="preserve">and increase customer satisfaction. </w:t>
      </w:r>
    </w:p>
    <w:p w:rsidR="00671E56" w:rsidP="00C20FC9">
      <w:pPr>
        <w:pStyle w:val="ListBullet2"/>
        <w:spacing w:line="480" w:lineRule="auto"/>
      </w:pPr>
      <w:r>
        <w:t>C</w:t>
      </w:r>
      <w:r w:rsidR="005E23FC">
        <w:t>ustomer satisfaction</w:t>
      </w:r>
      <w:r>
        <w:t>, measured on a 1,000 point scale,</w:t>
      </w:r>
      <w:r w:rsidR="005E23FC">
        <w:t xml:space="preserve"> has increased 4 points from </w:t>
      </w:r>
      <w:r w:rsidRPr="00ED4774" w:rsidR="003C103B">
        <w:t>868</w:t>
      </w:r>
      <w:r w:rsidRPr="00ED4774" w:rsidR="006B433C">
        <w:t xml:space="preserve"> </w:t>
      </w:r>
      <w:r w:rsidR="005E23FC">
        <w:t>to 872, a record h</w:t>
      </w:r>
      <w:r>
        <w:t>igh.</w:t>
      </w:r>
    </w:p>
    <w:p w:rsidR="00671E56" w:rsidP="00C20FC9">
      <w:pPr>
        <w:pStyle w:val="ListBullet2"/>
        <w:spacing w:line="480" w:lineRule="auto"/>
      </w:pPr>
      <w:r>
        <w:t>T</w:t>
      </w:r>
      <w:r w:rsidR="005E23FC">
        <w:t>he time cycle for a claim has decreased from 12.6 days pre-pandemic t</w:t>
      </w:r>
      <w:r>
        <w:t>o 10.3 days during the pandemic</w:t>
      </w:r>
    </w:p>
    <w:p w:rsidR="005E23FC" w:rsidP="00C20FC9">
      <w:pPr>
        <w:pStyle w:val="ListBullet2"/>
        <w:spacing w:line="480" w:lineRule="auto"/>
      </w:pPr>
      <w:r>
        <w:t>76% of claimants say they will “definitely renew” with their existing insurer, as compared to 72% pre-virus.</w:t>
      </w:r>
      <w:r>
        <w:rPr>
          <w:rStyle w:val="FootnoteReference"/>
        </w:rPr>
        <w:footnoteReference w:id="33"/>
      </w:r>
    </w:p>
    <w:p w:rsidR="0049213F" w:rsidRPr="0049213F" w:rsidP="0049213F">
      <w:pPr>
        <w:pStyle w:val="Level4"/>
        <w:spacing w:line="480" w:lineRule="auto"/>
        <w:rPr>
          <w:b w:val="0"/>
        </w:rPr>
      </w:pPr>
      <w:r w:rsidRPr="0049213F">
        <w:t>Total Claims Are Down, But Their Severity Is Increasing</w:t>
      </w:r>
    </w:p>
    <w:p w:rsidR="00630EFD" w:rsidRPr="00ED143D" w:rsidP="0049213F">
      <w:pPr>
        <w:pStyle w:val="20sp0"/>
        <w:spacing w:after="240"/>
      </w:pPr>
      <w:r w:rsidRPr="00ED143D">
        <w:t>The Insurance Information Institute reported that nationally there has been a 4% increase in traffic fatalities.</w:t>
      </w:r>
      <w:r>
        <w:rPr>
          <w:rStyle w:val="FootnoteReference"/>
        </w:rPr>
        <w:footnoteReference w:id="34"/>
      </w:r>
      <w:r w:rsidRPr="00ED143D">
        <w:t xml:space="preserve"> In addition, the National Highway Traffic Safety Administration</w:t>
      </w:r>
      <w:r w:rsidRPr="00ED143D" w:rsidR="003E292E">
        <w:t xml:space="preserve"> (“</w:t>
      </w:r>
      <w:r w:rsidRPr="00ED143D" w:rsidR="003E292E">
        <w:t>NHTSA</w:t>
      </w:r>
      <w:r w:rsidRPr="00ED143D" w:rsidR="003E292E">
        <w:t>”)</w:t>
      </w:r>
      <w:r w:rsidRPr="00ED143D">
        <w:t xml:space="preserve"> reported that </w:t>
      </w:r>
      <w:r w:rsidRPr="00ED143D" w:rsidR="008D6CA2">
        <w:t>t</w:t>
      </w:r>
      <w:r w:rsidRPr="00ED143D">
        <w:t xml:space="preserve">he number of people killed compared to the number of overall miles traveled rose in 2020 from 1.06 deaths per 100 million vehicles miles traveled to 1.25 in 2020 — an increase of nearly </w:t>
      </w:r>
      <w:r w:rsidRPr="00ED143D">
        <w:t>18%. This figure only worsened, nearly doubling in the second quarter of 2020 to 1.42 deaths per 100 million miles.</w:t>
      </w:r>
      <w:r>
        <w:rPr>
          <w:rStyle w:val="FootnoteReference"/>
        </w:rPr>
        <w:footnoteReference w:id="35"/>
      </w:r>
    </w:p>
    <w:p w:rsidR="003E292E" w:rsidRPr="00ED143D" w:rsidP="003E292E">
      <w:pPr>
        <w:pStyle w:val="20sp0"/>
        <w:spacing w:after="240"/>
      </w:pPr>
      <w:r w:rsidRPr="00ED143D">
        <w:t>In</w:t>
      </w:r>
      <w:r w:rsidRPr="00ED143D" w:rsidR="00CD45AC">
        <w:t xml:space="preserve"> an open letter to drivers, </w:t>
      </w:r>
      <w:r w:rsidRPr="00ED143D" w:rsidR="00CD45AC">
        <w:t>NHTSA</w:t>
      </w:r>
      <w:r w:rsidRPr="00ED143D" w:rsidR="00CD45AC">
        <w:t xml:space="preserve"> stated</w:t>
      </w:r>
      <w:r w:rsidRPr="00ED143D">
        <w:t>, “fewer Americans drove but those who did took more risks and had more fatal crashes.”</w:t>
      </w:r>
      <w:r>
        <w:rPr>
          <w:rStyle w:val="FootnoteReference"/>
        </w:rPr>
        <w:footnoteReference w:id="36"/>
      </w:r>
      <w:r w:rsidRPr="00ED143D" w:rsidR="00CD45AC">
        <w:t xml:space="preserve"> </w:t>
      </w:r>
      <w:r w:rsidRPr="00ED143D">
        <w:t>NHTSA</w:t>
      </w:r>
      <w:r w:rsidRPr="00ED143D">
        <w:t xml:space="preserve"> reported</w:t>
      </w:r>
      <w:r w:rsidRPr="00ED143D" w:rsidR="00CD45AC">
        <w:t xml:space="preserve"> the following </w:t>
      </w:r>
      <w:r w:rsidRPr="00ED143D">
        <w:t xml:space="preserve"> </w:t>
      </w:r>
    </w:p>
    <w:p w:rsidR="003E292E" w:rsidRPr="003E292E" w:rsidP="00C20FC9">
      <w:pPr>
        <w:pStyle w:val="ListBullet2"/>
        <w:spacing w:line="480" w:lineRule="auto"/>
        <w:rPr>
          <w:b/>
        </w:rPr>
      </w:pPr>
      <w:r w:rsidRPr="00ED143D">
        <w:t>Vehicle fatalities involving alcohol increased to 26.9% by mid-July from 21.3% in March 2020</w:t>
      </w:r>
    </w:p>
    <w:p w:rsidR="003E292E" w:rsidRPr="00ED143D" w:rsidP="00C20FC9">
      <w:pPr>
        <w:pStyle w:val="ListBullet2"/>
        <w:spacing w:line="480" w:lineRule="auto"/>
      </w:pPr>
      <w:r w:rsidRPr="00ED143D">
        <w:t xml:space="preserve">The presence of marijuana was seen in 21.4% of fatal accidents in March and increased to 31.2%. </w:t>
      </w:r>
    </w:p>
    <w:p w:rsidR="003E292E" w:rsidRPr="00ED143D" w:rsidP="00C20FC9">
      <w:pPr>
        <w:pStyle w:val="ListBullet2"/>
        <w:spacing w:line="480" w:lineRule="auto"/>
      </w:pPr>
      <w:r w:rsidRPr="00ED143D">
        <w:t>Opioid-related incidents also increased from 7.6% to 12.9%</w:t>
      </w:r>
    </w:p>
    <w:p w:rsidR="00DD760B" w:rsidRPr="00ED143D" w:rsidP="00C20FC9">
      <w:pPr>
        <w:pStyle w:val="ListBullet2"/>
        <w:spacing w:line="480" w:lineRule="auto"/>
      </w:pPr>
      <w:r w:rsidRPr="00ED143D">
        <w:t>65%</w:t>
      </w:r>
      <w:r w:rsidRPr="00ED143D" w:rsidR="00D43A4A">
        <w:t xml:space="preserve"> of drivers tested</w:t>
      </w:r>
      <w:r w:rsidRPr="00ED143D">
        <w:t xml:space="preserve"> positive for one or mo</w:t>
      </w:r>
      <w:r w:rsidRPr="00ED143D" w:rsidR="00D43A4A">
        <w:t>re active drugs in their system;</w:t>
      </w:r>
      <w:r w:rsidRPr="00ED143D">
        <w:t xml:space="preserve"> </w:t>
      </w:r>
      <w:r w:rsidRPr="00ED143D" w:rsidR="00D43A4A">
        <w:t>b</w:t>
      </w:r>
      <w:r w:rsidRPr="00ED143D">
        <w:t xml:space="preserve">efore the </w:t>
      </w:r>
      <w:r w:rsidRPr="00ED143D">
        <w:t>COVID</w:t>
      </w:r>
      <w:r w:rsidRPr="00ED143D">
        <w:t>-19 pandemic, this number was 50.8%.</w:t>
      </w:r>
    </w:p>
    <w:p w:rsidR="00D43A4A" w:rsidP="0049213F">
      <w:pPr>
        <w:pStyle w:val="20sp0"/>
        <w:spacing w:after="240"/>
      </w:pPr>
      <w:r w:rsidRPr="00ED143D">
        <w:t>In addition, t</w:t>
      </w:r>
      <w:r w:rsidRPr="00ED143D" w:rsidR="0049213F">
        <w:t>his increase in fatalities may</w:t>
      </w:r>
      <w:r w:rsidRPr="00ED143D">
        <w:t xml:space="preserve"> also</w:t>
      </w:r>
      <w:r w:rsidRPr="00ED143D" w:rsidR="0049213F">
        <w:t xml:space="preserve"> be due</w:t>
      </w:r>
      <w:r w:rsidRPr="00ED143D">
        <w:t xml:space="preserve"> </w:t>
      </w:r>
      <w:r w:rsidRPr="00ED143D" w:rsidR="0049213F">
        <w:t xml:space="preserve">to an increase in speeding. For example, </w:t>
      </w:r>
      <w:r w:rsidRPr="00ED143D" w:rsidR="006B433C">
        <w:t xml:space="preserve">for 2020, </w:t>
      </w:r>
      <w:r w:rsidRPr="00ED143D" w:rsidR="0049213F">
        <w:t xml:space="preserve">the Solano County CHP reported a </w:t>
      </w:r>
      <w:r w:rsidRPr="00ED143D" w:rsidR="006B433C">
        <w:t>22% increase in citations for</w:t>
      </w:r>
      <w:r w:rsidRPr="0054178D" w:rsidR="006B433C">
        <w:t xml:space="preserve"> speeding and a grim </w:t>
      </w:r>
      <w:r w:rsidRPr="0054178D" w:rsidR="0049213F">
        <w:t>58% increase in citations for speeds in excess of 100 mph.</w:t>
      </w:r>
      <w:r>
        <w:rPr>
          <w:rStyle w:val="FootnoteReference"/>
        </w:rPr>
        <w:footnoteReference w:id="37"/>
      </w:r>
      <w:r>
        <w:t xml:space="preserve"> Further, a</w:t>
      </w:r>
      <w:r>
        <w:t xml:space="preserve">lthough various states lifted their </w:t>
      </w:r>
      <w:r>
        <w:t xml:space="preserve">Stay-At-Home orders in the latter part of 2020, traffic fatalities still increased. </w:t>
      </w:r>
      <w:r w:rsidRPr="00D43A4A">
        <w:t xml:space="preserve">11,260 people died on U.S. roads in the third quarter of 2020, up from 9,953 in the </w:t>
      </w:r>
      <w:r>
        <w:t>same three-month period in 2019.</w:t>
      </w:r>
      <w:r>
        <w:rPr>
          <w:rStyle w:val="FootnoteReference"/>
        </w:rPr>
        <w:footnoteReference w:id="38"/>
      </w:r>
    </w:p>
    <w:p w:rsidR="0049213F" w:rsidRPr="0049213F" w:rsidP="0049213F">
      <w:pPr>
        <w:pStyle w:val="Level4"/>
        <w:spacing w:line="480" w:lineRule="auto"/>
        <w:rPr>
          <w:b w:val="0"/>
        </w:rPr>
      </w:pPr>
      <w:r w:rsidRPr="0049213F">
        <w:t>Dynamic Pricing Models Gain Traction</w:t>
      </w:r>
    </w:p>
    <w:p w:rsidR="0049213F" w:rsidRPr="0054178D" w:rsidP="0049213F">
      <w:pPr>
        <w:pStyle w:val="20sp0"/>
        <w:spacing w:after="240"/>
      </w:pPr>
      <w:r w:rsidRPr="006B433C">
        <w:rPr>
          <w:color w:val="000000" w:themeColor="text1"/>
          <w:szCs w:val="24"/>
        </w:rPr>
        <w:t>Dynamic p</w:t>
      </w:r>
      <w:r w:rsidRPr="006511ED">
        <w:rPr>
          <w:color w:val="000000" w:themeColor="text1"/>
          <w:szCs w:val="24"/>
        </w:rPr>
        <w:t>ricing</w:t>
      </w:r>
      <w:r>
        <w:rPr>
          <w:color w:val="000000" w:themeColor="text1"/>
          <w:szCs w:val="24"/>
        </w:rPr>
        <w:t>, also known as</w:t>
      </w:r>
      <w:r w:rsidRPr="006511ED">
        <w:rPr>
          <w:color w:val="000000" w:themeColor="text1"/>
          <w:szCs w:val="24"/>
        </w:rPr>
        <w:t xml:space="preserve"> time-based</w:t>
      </w:r>
      <w:r>
        <w:rPr>
          <w:color w:val="000000" w:themeColor="text1"/>
          <w:szCs w:val="24"/>
        </w:rPr>
        <w:t xml:space="preserve"> or data-driven pricing,</w:t>
      </w:r>
      <w:r w:rsidRPr="006511ED">
        <w:rPr>
          <w:color w:val="000000" w:themeColor="text1"/>
          <w:szCs w:val="24"/>
        </w:rPr>
        <w:t xml:space="preserve"> is one of the strategies </w:t>
      </w:r>
      <w:r>
        <w:rPr>
          <w:color w:val="000000" w:themeColor="text1"/>
          <w:szCs w:val="24"/>
        </w:rPr>
        <w:t xml:space="preserve">being </w:t>
      </w:r>
      <w:r w:rsidRPr="006511ED">
        <w:rPr>
          <w:color w:val="000000" w:themeColor="text1"/>
          <w:szCs w:val="24"/>
        </w:rPr>
        <w:t xml:space="preserve">used </w:t>
      </w:r>
      <w:r>
        <w:rPr>
          <w:color w:val="000000" w:themeColor="text1"/>
          <w:szCs w:val="24"/>
        </w:rPr>
        <w:t xml:space="preserve">more frequently </w:t>
      </w:r>
      <w:r w:rsidRPr="006511ED">
        <w:rPr>
          <w:color w:val="000000" w:themeColor="text1"/>
          <w:szCs w:val="24"/>
        </w:rPr>
        <w:t xml:space="preserve">by businesses to set flexible prices for their products based on current market feedback. Dynamic Pricing is </w:t>
      </w:r>
      <w:r w:rsidRPr="006B433C">
        <w:rPr>
          <w:color w:val="000000" w:themeColor="text1"/>
          <w:szCs w:val="24"/>
        </w:rPr>
        <w:t>very common in industries like transportation, entertainment and r</w:t>
      </w:r>
      <w:r>
        <w:rPr>
          <w:color w:val="000000" w:themeColor="text1"/>
          <w:szCs w:val="24"/>
        </w:rPr>
        <w:t xml:space="preserve">etail, </w:t>
      </w:r>
      <w:r w:rsidRPr="006B433C">
        <w:rPr>
          <w:color w:val="000000" w:themeColor="text1"/>
          <w:szCs w:val="24"/>
        </w:rPr>
        <w:t>but less so i</w:t>
      </w:r>
      <w:r>
        <w:rPr>
          <w:color w:val="000000" w:themeColor="text1"/>
          <w:szCs w:val="24"/>
        </w:rPr>
        <w:t>n insurance, in p</w:t>
      </w:r>
      <w:r w:rsidRPr="006B433C">
        <w:rPr>
          <w:color w:val="000000" w:themeColor="text1"/>
          <w:szCs w:val="24"/>
        </w:rPr>
        <w:t>art due to more extensive regulations.</w:t>
      </w:r>
      <w:r w:rsidRPr="006511ED">
        <w:rPr>
          <w:color w:val="000000" w:themeColor="text1"/>
          <w:szCs w:val="24"/>
        </w:rPr>
        <w:t xml:space="preserve"> </w:t>
      </w:r>
      <w:r>
        <w:rPr>
          <w:color w:val="000000" w:themeColor="text1"/>
          <w:szCs w:val="24"/>
        </w:rPr>
        <w:t xml:space="preserve">In the insurance context, an insurer can potentially </w:t>
      </w:r>
      <w:r w:rsidRPr="0054178D">
        <w:rPr>
          <w:color w:val="000000" w:themeColor="text1"/>
          <w:szCs w:val="24"/>
        </w:rPr>
        <w:t xml:space="preserve">modify the premium being charged up or down depending on data gleaned from telematics indicating how safely or recklessly a driver is operating a vehicle. </w:t>
      </w:r>
      <w:r w:rsidRPr="0054178D">
        <w:t xml:space="preserve">Based on a recent survey by Arity, an insurance </w:t>
      </w:r>
      <w:r w:rsidRPr="0054178D">
        <w:t>telematic</w:t>
      </w:r>
      <w:r w:rsidRPr="0054178D">
        <w:t xml:space="preserve"> platform, drivers are more receptive to data-driven policies.</w:t>
      </w:r>
    </w:p>
    <w:p w:rsidR="0049213F" w:rsidRPr="0054178D" w:rsidP="0049213F">
      <w:pPr>
        <w:pStyle w:val="ListBullet2"/>
        <w:spacing w:line="480" w:lineRule="auto"/>
      </w:pPr>
      <w:r w:rsidRPr="0054178D">
        <w:t xml:space="preserve">In response to a survey in May of 2019, 875 licensed drivers over the age of 18 indicated </w:t>
      </w:r>
      <w:r w:rsidRPr="0054178D" w:rsidR="006B433C">
        <w:t xml:space="preserve">that </w:t>
      </w:r>
      <w:r w:rsidRPr="0054178D">
        <w:t xml:space="preserve">they were “very or extremely comfortable” with sharing this data to optimize their insurance premiums, such as how many miles they drive, distracted driving, speeding, and when and where they drive. </w:t>
      </w:r>
    </w:p>
    <w:p w:rsidR="0049213F" w:rsidRPr="0054178D" w:rsidP="0049213F">
      <w:pPr>
        <w:pStyle w:val="ListBullet2"/>
        <w:spacing w:line="480" w:lineRule="auto"/>
      </w:pPr>
      <w:r w:rsidRPr="0054178D">
        <w:t xml:space="preserve">In May 2020, Arity re-ran this survey with 1,000 drivers, reporting a 12% increase in positive responses, </w:t>
      </w:r>
      <w:r w:rsidRPr="0054178D" w:rsidR="006B433C">
        <w:t xml:space="preserve">indicating that </w:t>
      </w:r>
      <w:r w:rsidRPr="0054178D">
        <w:t xml:space="preserve">about 50% of drivers </w:t>
      </w:r>
      <w:r w:rsidRPr="0054178D" w:rsidR="006B433C">
        <w:t xml:space="preserve">are </w:t>
      </w:r>
      <w:r w:rsidRPr="0054178D">
        <w:t>now comfortable with this information being used.</w:t>
      </w:r>
    </w:p>
    <w:p w:rsidR="0049213F" w:rsidRPr="0054178D" w:rsidP="0049213F">
      <w:pPr>
        <w:pStyle w:val="20sp0"/>
        <w:spacing w:after="240"/>
      </w:pPr>
      <w:r w:rsidRPr="0054178D">
        <w:t xml:space="preserve">If </w:t>
      </w:r>
      <w:r w:rsidRPr="0054178D" w:rsidR="006B433C">
        <w:t xml:space="preserve">a competitive and sustainable data-driven dynamic pricing </w:t>
      </w:r>
      <w:r w:rsidRPr="0054178D">
        <w:t xml:space="preserve"> model is successful moving forward, insureds might put pressure on data-driven policies in other </w:t>
      </w:r>
      <w:r w:rsidRPr="0054178D" w:rsidR="006B433C">
        <w:t xml:space="preserve">sectors of the insurance market </w:t>
      </w:r>
      <w:r w:rsidRPr="0054178D">
        <w:t xml:space="preserve"> outside of the auto</w:t>
      </w:r>
      <w:r w:rsidRPr="0054178D" w:rsidR="006B433C">
        <w:t>mobile insurance</w:t>
      </w:r>
      <w:r w:rsidRPr="0054178D">
        <w:t xml:space="preserve"> industry. </w:t>
      </w:r>
    </w:p>
    <w:p w:rsidR="00731D26" w:rsidRPr="00E2240E" w:rsidP="009B22A3">
      <w:pPr>
        <w:pStyle w:val="Level3"/>
        <w:spacing w:line="480" w:lineRule="auto"/>
        <w:rPr>
          <w:b w:val="0"/>
        </w:rPr>
      </w:pPr>
      <w:r w:rsidRPr="00E2240E">
        <w:t xml:space="preserve">Employment Claims </w:t>
      </w:r>
    </w:p>
    <w:p w:rsidR="00FC5E03" w:rsidRPr="00ED143D" w:rsidP="009B22A3">
      <w:pPr>
        <w:pStyle w:val="20sp0"/>
        <w:spacing w:after="240"/>
      </w:pPr>
      <w:r w:rsidRPr="003B63BA">
        <w:t xml:space="preserve">According to </w:t>
      </w:r>
      <w:r w:rsidR="006B433C">
        <w:t xml:space="preserve">a </w:t>
      </w:r>
      <w:r w:rsidRPr="003B63BA">
        <w:t>recent article posted by</w:t>
      </w:r>
      <w:r w:rsidRPr="003B63BA" w:rsidR="00731D26">
        <w:t xml:space="preserve"> US</w:t>
      </w:r>
      <w:r w:rsidRPr="003B63BA">
        <w:t>A</w:t>
      </w:r>
      <w:r w:rsidRPr="003B63BA" w:rsidR="00731D26">
        <w:t xml:space="preserve"> Today</w:t>
      </w:r>
      <w:r w:rsidRPr="003B63BA">
        <w:t xml:space="preserve">, </w:t>
      </w:r>
      <w:r w:rsidR="006B433C">
        <w:t>more than</w:t>
      </w:r>
      <w:r w:rsidRPr="003B63BA">
        <w:t xml:space="preserve"> 1,00</w:t>
      </w:r>
      <w:r w:rsidR="006B433C">
        <w:t>0</w:t>
      </w:r>
      <w:r w:rsidRPr="003B63BA">
        <w:t xml:space="preserve"> </w:t>
      </w:r>
      <w:r w:rsidR="006B433C">
        <w:t>COVID</w:t>
      </w:r>
      <w:r w:rsidR="006B433C">
        <w:t xml:space="preserve">-19 inspired </w:t>
      </w:r>
      <w:r w:rsidRPr="003B63BA" w:rsidR="00E2240E">
        <w:t>workplace lawsuit</w:t>
      </w:r>
      <w:r w:rsidR="006B433C">
        <w:t>s</w:t>
      </w:r>
      <w:r w:rsidRPr="003B63BA" w:rsidR="00E2240E">
        <w:t xml:space="preserve"> </w:t>
      </w:r>
      <w:r w:rsidR="006B433C">
        <w:t xml:space="preserve">were </w:t>
      </w:r>
      <w:r w:rsidRPr="003B63BA" w:rsidR="00E2240E">
        <w:t>filed in 2020</w:t>
      </w:r>
      <w:r w:rsidR="006B433C">
        <w:t>, with some estimates as high as over 1,400 lawsuits</w:t>
      </w:r>
      <w:r w:rsidRPr="003B63BA" w:rsidR="00731D26">
        <w:t>.</w:t>
      </w:r>
      <w:r>
        <w:rPr>
          <w:rStyle w:val="FootnoteReference"/>
        </w:rPr>
        <w:footnoteReference w:id="39"/>
      </w:r>
      <w:r w:rsidRPr="003B63BA" w:rsidR="00351F50">
        <w:t xml:space="preserve"> </w:t>
      </w:r>
      <w:r w:rsidRPr="003B63BA">
        <w:t xml:space="preserve">Further, </w:t>
      </w:r>
      <w:r w:rsidRPr="003B63BA" w:rsidR="00351F50">
        <w:t xml:space="preserve">an employment law litigation tracker, </w:t>
      </w:r>
      <w:r w:rsidRPr="003B63BA">
        <w:t>which has collected data since March 12, 2020</w:t>
      </w:r>
      <w:r w:rsidR="006B433C">
        <w:t>,</w:t>
      </w:r>
      <w:r w:rsidRPr="003B63BA">
        <w:t xml:space="preserve"> notes</w:t>
      </w:r>
      <w:r w:rsidR="006B433C">
        <w:t xml:space="preserve"> the following</w:t>
      </w:r>
      <w:r w:rsidRPr="003B63BA">
        <w:t xml:space="preserve">: </w:t>
      </w:r>
    </w:p>
    <w:p w:rsidR="00FC5E03" w:rsidRPr="00ED143D" w:rsidP="009B22A3">
      <w:pPr>
        <w:pStyle w:val="ListBullet2"/>
        <w:spacing w:line="480" w:lineRule="auto"/>
      </w:pPr>
      <w:r w:rsidRPr="00ED143D">
        <w:t>T</w:t>
      </w:r>
      <w:r w:rsidRPr="00ED143D" w:rsidR="00FB3509">
        <w:t>here have been 1570</w:t>
      </w:r>
      <w:r w:rsidRPr="00ED143D" w:rsidR="00351F50">
        <w:t xml:space="preserve"> cases filed nationally in response to </w:t>
      </w:r>
      <w:r w:rsidRPr="00ED143D" w:rsidR="00351F50">
        <w:t>COVID</w:t>
      </w:r>
      <w:r w:rsidRPr="00ED143D" w:rsidR="00351F50">
        <w:t>-19</w:t>
      </w:r>
    </w:p>
    <w:p w:rsidR="00FC5E03" w:rsidRPr="003B63BA" w:rsidP="009B22A3">
      <w:pPr>
        <w:pStyle w:val="ListBullet2"/>
        <w:spacing w:line="480" w:lineRule="auto"/>
      </w:pPr>
      <w:r w:rsidRPr="00ED143D">
        <w:t>Of this tot</w:t>
      </w:r>
      <w:r w:rsidRPr="00ED143D" w:rsidR="00FB3509">
        <w:t>al, 1,436</w:t>
      </w:r>
      <w:r w:rsidRPr="00ED143D">
        <w:t xml:space="preserve"> cases have b</w:t>
      </w:r>
      <w:r w:rsidRPr="00ED143D" w:rsidR="00FB3509">
        <w:t>een filed by individuals and 134</w:t>
      </w:r>
      <w:r w:rsidRPr="00ED143D">
        <w:t xml:space="preserve"> cases have been filed as class</w:t>
      </w:r>
      <w:r w:rsidRPr="00ED143D" w:rsidR="006B433C">
        <w:t xml:space="preserve"> </w:t>
      </w:r>
      <w:r w:rsidRPr="00ED143D">
        <w:t>actions</w:t>
      </w:r>
      <w:r w:rsidRPr="00ED143D" w:rsidR="00351F50">
        <w:t>.</w:t>
      </w:r>
    </w:p>
    <w:p w:rsidR="00FC5E03" w:rsidP="009B22A3">
      <w:pPr>
        <w:pStyle w:val="ListBullet2"/>
        <w:spacing w:line="480" w:lineRule="auto"/>
      </w:pPr>
      <w:r w:rsidRPr="003B63BA">
        <w:t>California</w:t>
      </w:r>
      <w:r w:rsidRPr="003B63BA">
        <w:t xml:space="preserve"> is the epicenter of litigation with 335 total cases filed </w:t>
      </w:r>
      <w:r>
        <w:rPr>
          <w:rStyle w:val="FootnoteReference"/>
        </w:rPr>
        <w:footnoteReference w:id="40"/>
      </w:r>
      <w:r w:rsidRPr="003B63BA" w:rsidR="00351F50">
        <w:t xml:space="preserve"> . </w:t>
      </w:r>
    </w:p>
    <w:p w:rsidR="00601C3C" w:rsidRPr="0054178D" w:rsidP="003B63BA">
      <w:pPr>
        <w:pStyle w:val="ListBullet2"/>
        <w:numPr>
          <w:ilvl w:val="0"/>
          <w:numId w:val="0"/>
        </w:numPr>
        <w:spacing w:line="480" w:lineRule="auto"/>
      </w:pPr>
      <w:r w:rsidRPr="0054178D">
        <w:t xml:space="preserve">According to </w:t>
      </w:r>
      <w:r w:rsidRPr="0054178D" w:rsidR="00A91F8D">
        <w:t xml:space="preserve">an </w:t>
      </w:r>
      <w:r w:rsidRPr="0054178D" w:rsidR="006B433C">
        <w:t>employment law litigation</w:t>
      </w:r>
      <w:r w:rsidRPr="0054178D" w:rsidR="00847AA5">
        <w:t xml:space="preserve"> tracker</w:t>
      </w:r>
      <w:r w:rsidRPr="0054178D" w:rsidR="00E07237">
        <w:t>, the types and number of lawsuits filed in California are</w:t>
      </w:r>
      <w:r w:rsidRPr="0054178D" w:rsidR="006B433C">
        <w:t>,</w:t>
      </w:r>
      <w:r w:rsidRPr="0054178D" w:rsidR="00E07237">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1"/>
        <w:gridCol w:w="1870"/>
        <w:gridCol w:w="1869"/>
        <w:gridCol w:w="1870"/>
        <w:gridCol w:w="1870"/>
      </w:tblGrid>
      <w:tr w:rsidTr="00C93B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871" w:type="dxa"/>
          </w:tcPr>
          <w:p w:rsidR="00E07237" w:rsidRPr="00C0109A" w:rsidP="00847AA5">
            <w:pPr>
              <w:pStyle w:val="ListBullet2"/>
              <w:numPr>
                <w:ilvl w:val="0"/>
                <w:numId w:val="0"/>
              </w:numPr>
              <w:spacing w:line="480" w:lineRule="auto"/>
              <w:jc w:val="center"/>
            </w:pPr>
            <w:r w:rsidRPr="00C0109A">
              <w:t>Type of Case</w:t>
            </w:r>
          </w:p>
        </w:tc>
        <w:tc>
          <w:tcPr>
            <w:tcW w:w="1870" w:type="dxa"/>
          </w:tcPr>
          <w:p w:rsidR="00E07237" w:rsidRPr="00C0109A" w:rsidP="00847AA5">
            <w:pPr>
              <w:pStyle w:val="ListBullet2"/>
              <w:numPr>
                <w:ilvl w:val="0"/>
                <w:numId w:val="0"/>
              </w:numPr>
              <w:spacing w:line="480" w:lineRule="auto"/>
              <w:jc w:val="center"/>
            </w:pPr>
            <w:r w:rsidRPr="00C0109A">
              <w:t>Federal</w:t>
            </w:r>
          </w:p>
        </w:tc>
        <w:tc>
          <w:tcPr>
            <w:tcW w:w="1869" w:type="dxa"/>
          </w:tcPr>
          <w:p w:rsidR="00E07237" w:rsidRPr="00C0109A" w:rsidP="00847AA5">
            <w:pPr>
              <w:pStyle w:val="ListBullet2"/>
              <w:numPr>
                <w:ilvl w:val="0"/>
                <w:numId w:val="0"/>
              </w:numPr>
              <w:spacing w:line="480" w:lineRule="auto"/>
              <w:jc w:val="center"/>
            </w:pPr>
            <w:r w:rsidRPr="00C0109A">
              <w:t>State</w:t>
            </w:r>
          </w:p>
        </w:tc>
        <w:tc>
          <w:tcPr>
            <w:tcW w:w="1870" w:type="dxa"/>
          </w:tcPr>
          <w:p w:rsidR="00E07237" w:rsidRPr="00C0109A" w:rsidP="00847AA5">
            <w:pPr>
              <w:pStyle w:val="ListBullet2"/>
              <w:numPr>
                <w:ilvl w:val="0"/>
                <w:numId w:val="0"/>
              </w:numPr>
              <w:spacing w:line="480" w:lineRule="auto"/>
              <w:jc w:val="center"/>
            </w:pPr>
            <w:r w:rsidRPr="00C0109A">
              <w:t>Shared Parental Leave</w:t>
            </w:r>
          </w:p>
        </w:tc>
        <w:tc>
          <w:tcPr>
            <w:tcW w:w="1870" w:type="dxa"/>
          </w:tcPr>
          <w:p w:rsidR="00E07237" w:rsidRPr="00C0109A" w:rsidP="00847AA5">
            <w:pPr>
              <w:pStyle w:val="ListBullet2"/>
              <w:numPr>
                <w:ilvl w:val="0"/>
                <w:numId w:val="0"/>
              </w:numPr>
              <w:spacing w:line="480" w:lineRule="auto"/>
              <w:jc w:val="center"/>
            </w:pPr>
            <w:r w:rsidRPr="00C0109A">
              <w:t>Class Action</w:t>
            </w:r>
          </w:p>
        </w:tc>
      </w:tr>
      <w:tr w:rsidTr="00C93B39">
        <w:tblPrEx>
          <w:tblW w:w="0" w:type="auto"/>
          <w:tblLook w:val="0000"/>
        </w:tblPrEx>
        <w:tc>
          <w:tcPr>
            <w:tcW w:w="1871" w:type="dxa"/>
          </w:tcPr>
          <w:p w:rsidR="00E07237" w:rsidRPr="00C0109A" w:rsidP="00847AA5">
            <w:pPr>
              <w:pStyle w:val="ListBullet2"/>
              <w:numPr>
                <w:ilvl w:val="0"/>
                <w:numId w:val="0"/>
              </w:numPr>
              <w:spacing w:line="480" w:lineRule="auto"/>
              <w:jc w:val="center"/>
            </w:pPr>
            <w:r w:rsidRPr="00C0109A">
              <w:t>Unspecified</w:t>
            </w:r>
          </w:p>
        </w:tc>
        <w:tc>
          <w:tcPr>
            <w:tcW w:w="1870" w:type="dxa"/>
          </w:tcPr>
          <w:p w:rsidR="00E07237" w:rsidRPr="00ED143D" w:rsidP="00847AA5">
            <w:pPr>
              <w:pStyle w:val="ListBullet2"/>
              <w:numPr>
                <w:ilvl w:val="0"/>
                <w:numId w:val="0"/>
              </w:numPr>
              <w:spacing w:line="480" w:lineRule="auto"/>
              <w:jc w:val="center"/>
            </w:pPr>
            <w:r w:rsidRPr="00ED143D">
              <w:t>3</w:t>
            </w:r>
          </w:p>
        </w:tc>
        <w:tc>
          <w:tcPr>
            <w:tcW w:w="1869" w:type="dxa"/>
          </w:tcPr>
          <w:p w:rsidR="00E07237" w:rsidRPr="00ED143D" w:rsidP="00847AA5">
            <w:pPr>
              <w:pStyle w:val="ListBullet2"/>
              <w:numPr>
                <w:ilvl w:val="0"/>
                <w:numId w:val="0"/>
              </w:numPr>
              <w:spacing w:line="480" w:lineRule="auto"/>
              <w:jc w:val="center"/>
            </w:pPr>
            <w:r w:rsidRPr="00ED143D">
              <w:t>31</w:t>
            </w:r>
          </w:p>
        </w:tc>
        <w:tc>
          <w:tcPr>
            <w:tcW w:w="1870" w:type="dxa"/>
          </w:tcPr>
          <w:p w:rsidR="00E07237" w:rsidRPr="00ED143D" w:rsidP="00847AA5">
            <w:pPr>
              <w:pStyle w:val="ListBullet2"/>
              <w:numPr>
                <w:ilvl w:val="0"/>
                <w:numId w:val="0"/>
              </w:numPr>
              <w:spacing w:line="480" w:lineRule="auto"/>
              <w:jc w:val="center"/>
            </w:pPr>
            <w:r w:rsidRPr="00ED143D">
              <w:t>30</w:t>
            </w:r>
          </w:p>
        </w:tc>
        <w:tc>
          <w:tcPr>
            <w:tcW w:w="1870" w:type="dxa"/>
          </w:tcPr>
          <w:p w:rsidR="00E07237" w:rsidRPr="00ED143D" w:rsidP="00847AA5">
            <w:pPr>
              <w:pStyle w:val="ListBullet2"/>
              <w:numPr>
                <w:ilvl w:val="0"/>
                <w:numId w:val="0"/>
              </w:numPr>
              <w:spacing w:line="480" w:lineRule="auto"/>
              <w:jc w:val="center"/>
            </w:pPr>
            <w:r w:rsidRPr="00ED143D">
              <w:t>4</w:t>
            </w:r>
          </w:p>
        </w:tc>
      </w:tr>
      <w:tr w:rsidTr="00C93B39">
        <w:tblPrEx>
          <w:tblW w:w="0" w:type="auto"/>
          <w:tblLook w:val="0000"/>
        </w:tblPrEx>
        <w:tc>
          <w:tcPr>
            <w:tcW w:w="1871" w:type="dxa"/>
          </w:tcPr>
          <w:p w:rsidR="00E07237" w:rsidRPr="00C0109A" w:rsidP="00847AA5">
            <w:pPr>
              <w:pStyle w:val="ListBullet2"/>
              <w:numPr>
                <w:ilvl w:val="0"/>
                <w:numId w:val="0"/>
              </w:numPr>
              <w:spacing w:line="480" w:lineRule="auto"/>
              <w:jc w:val="center"/>
            </w:pPr>
            <w:r w:rsidRPr="00C0109A">
              <w:t>Breach of Contract</w:t>
            </w:r>
          </w:p>
        </w:tc>
        <w:tc>
          <w:tcPr>
            <w:tcW w:w="1870" w:type="dxa"/>
          </w:tcPr>
          <w:p w:rsidR="00E07237" w:rsidRPr="00ED143D" w:rsidP="00847AA5">
            <w:pPr>
              <w:pStyle w:val="ListBullet2"/>
              <w:numPr>
                <w:ilvl w:val="0"/>
                <w:numId w:val="0"/>
              </w:numPr>
              <w:spacing w:line="480" w:lineRule="auto"/>
              <w:jc w:val="center"/>
            </w:pPr>
            <w:r w:rsidRPr="00ED143D">
              <w:t>0</w:t>
            </w:r>
          </w:p>
        </w:tc>
        <w:tc>
          <w:tcPr>
            <w:tcW w:w="1869" w:type="dxa"/>
          </w:tcPr>
          <w:p w:rsidR="00E07237" w:rsidRPr="00ED143D" w:rsidP="00847AA5">
            <w:pPr>
              <w:pStyle w:val="ListBullet2"/>
              <w:numPr>
                <w:ilvl w:val="0"/>
                <w:numId w:val="0"/>
              </w:numPr>
              <w:spacing w:line="480" w:lineRule="auto"/>
              <w:jc w:val="center"/>
            </w:pPr>
            <w:r w:rsidRPr="00ED143D">
              <w:t>2</w:t>
            </w:r>
          </w:p>
        </w:tc>
        <w:tc>
          <w:tcPr>
            <w:tcW w:w="1870" w:type="dxa"/>
          </w:tcPr>
          <w:p w:rsidR="00E07237" w:rsidRPr="00ED143D" w:rsidP="00847AA5">
            <w:pPr>
              <w:pStyle w:val="ListBullet2"/>
              <w:numPr>
                <w:ilvl w:val="0"/>
                <w:numId w:val="0"/>
              </w:numPr>
              <w:spacing w:line="480" w:lineRule="auto"/>
              <w:jc w:val="center"/>
            </w:pPr>
            <w:r w:rsidRPr="00ED143D">
              <w:t>2</w:t>
            </w:r>
          </w:p>
        </w:tc>
        <w:tc>
          <w:tcPr>
            <w:tcW w:w="1870" w:type="dxa"/>
          </w:tcPr>
          <w:p w:rsidR="00E07237" w:rsidRPr="00ED143D" w:rsidP="00847AA5">
            <w:pPr>
              <w:pStyle w:val="ListBullet2"/>
              <w:numPr>
                <w:ilvl w:val="0"/>
                <w:numId w:val="0"/>
              </w:numPr>
              <w:spacing w:line="480" w:lineRule="auto"/>
              <w:jc w:val="center"/>
            </w:pPr>
            <w:r w:rsidRPr="00ED143D">
              <w:t>0</w:t>
            </w:r>
          </w:p>
        </w:tc>
      </w:tr>
      <w:tr w:rsidTr="00C93B39">
        <w:tblPrEx>
          <w:tblW w:w="0" w:type="auto"/>
          <w:tblLook w:val="0000"/>
        </w:tblPrEx>
        <w:tc>
          <w:tcPr>
            <w:tcW w:w="1871" w:type="dxa"/>
          </w:tcPr>
          <w:p w:rsidR="00E07237" w:rsidRPr="00C0109A" w:rsidP="00847AA5">
            <w:pPr>
              <w:pStyle w:val="ListBullet2"/>
              <w:numPr>
                <w:ilvl w:val="0"/>
                <w:numId w:val="0"/>
              </w:numPr>
              <w:spacing w:line="480" w:lineRule="auto"/>
              <w:jc w:val="center"/>
            </w:pPr>
            <w:r w:rsidRPr="00C0109A">
              <w:t>Constitutional Claims</w:t>
            </w:r>
          </w:p>
        </w:tc>
        <w:tc>
          <w:tcPr>
            <w:tcW w:w="1870" w:type="dxa"/>
          </w:tcPr>
          <w:p w:rsidR="00E07237" w:rsidRPr="00ED143D" w:rsidP="00847AA5">
            <w:pPr>
              <w:pStyle w:val="ListBullet2"/>
              <w:numPr>
                <w:ilvl w:val="0"/>
                <w:numId w:val="0"/>
              </w:numPr>
              <w:spacing w:line="480" w:lineRule="auto"/>
              <w:jc w:val="center"/>
            </w:pPr>
            <w:r w:rsidRPr="00ED143D">
              <w:t>0</w:t>
            </w:r>
          </w:p>
        </w:tc>
        <w:tc>
          <w:tcPr>
            <w:tcW w:w="1869" w:type="dxa"/>
          </w:tcPr>
          <w:p w:rsidR="00E07237" w:rsidRPr="00ED143D" w:rsidP="00847AA5">
            <w:pPr>
              <w:pStyle w:val="ListBullet2"/>
              <w:numPr>
                <w:ilvl w:val="0"/>
                <w:numId w:val="0"/>
              </w:numPr>
              <w:spacing w:line="480" w:lineRule="auto"/>
              <w:jc w:val="center"/>
            </w:pPr>
            <w:r w:rsidRPr="00ED143D">
              <w:t>2</w:t>
            </w:r>
          </w:p>
        </w:tc>
        <w:tc>
          <w:tcPr>
            <w:tcW w:w="1870" w:type="dxa"/>
          </w:tcPr>
          <w:p w:rsidR="00E07237" w:rsidRPr="00ED143D" w:rsidP="00847AA5">
            <w:pPr>
              <w:pStyle w:val="ListBullet2"/>
              <w:numPr>
                <w:ilvl w:val="0"/>
                <w:numId w:val="0"/>
              </w:numPr>
              <w:spacing w:line="480" w:lineRule="auto"/>
              <w:jc w:val="center"/>
            </w:pPr>
            <w:r w:rsidRPr="00ED143D">
              <w:t>2</w:t>
            </w:r>
          </w:p>
        </w:tc>
        <w:tc>
          <w:tcPr>
            <w:tcW w:w="1870" w:type="dxa"/>
          </w:tcPr>
          <w:p w:rsidR="00E07237" w:rsidRPr="00ED143D" w:rsidP="00847AA5">
            <w:pPr>
              <w:pStyle w:val="ListBullet2"/>
              <w:numPr>
                <w:ilvl w:val="0"/>
                <w:numId w:val="0"/>
              </w:numPr>
              <w:spacing w:line="480" w:lineRule="auto"/>
              <w:jc w:val="center"/>
            </w:pPr>
            <w:r w:rsidRPr="00ED143D">
              <w:t>0</w:t>
            </w:r>
          </w:p>
        </w:tc>
      </w:tr>
      <w:tr w:rsidTr="00C93B39">
        <w:tblPrEx>
          <w:tblW w:w="0" w:type="auto"/>
          <w:tblLook w:val="0000"/>
        </w:tblPrEx>
        <w:tc>
          <w:tcPr>
            <w:tcW w:w="1871" w:type="dxa"/>
          </w:tcPr>
          <w:p w:rsidR="00E07237" w:rsidRPr="00C0109A" w:rsidP="00847AA5">
            <w:pPr>
              <w:pStyle w:val="ListBullet2"/>
              <w:numPr>
                <w:ilvl w:val="0"/>
                <w:numId w:val="0"/>
              </w:numPr>
              <w:spacing w:line="480" w:lineRule="auto"/>
              <w:jc w:val="center"/>
            </w:pPr>
            <w:r w:rsidRPr="00C0109A">
              <w:t>Discrimination</w:t>
            </w:r>
          </w:p>
        </w:tc>
        <w:tc>
          <w:tcPr>
            <w:tcW w:w="1870" w:type="dxa"/>
          </w:tcPr>
          <w:p w:rsidR="00E07237" w:rsidRPr="00ED143D" w:rsidP="00847AA5">
            <w:pPr>
              <w:pStyle w:val="ListBullet2"/>
              <w:numPr>
                <w:ilvl w:val="0"/>
                <w:numId w:val="0"/>
              </w:numPr>
              <w:spacing w:line="480" w:lineRule="auto"/>
              <w:jc w:val="center"/>
            </w:pPr>
            <w:r w:rsidRPr="00ED143D">
              <w:t>13</w:t>
            </w:r>
          </w:p>
        </w:tc>
        <w:tc>
          <w:tcPr>
            <w:tcW w:w="1869" w:type="dxa"/>
          </w:tcPr>
          <w:p w:rsidR="00E07237" w:rsidRPr="00ED143D" w:rsidP="00847AA5">
            <w:pPr>
              <w:pStyle w:val="ListBullet2"/>
              <w:numPr>
                <w:ilvl w:val="0"/>
                <w:numId w:val="0"/>
              </w:numPr>
              <w:spacing w:line="480" w:lineRule="auto"/>
              <w:jc w:val="center"/>
            </w:pPr>
            <w:r w:rsidRPr="00ED143D">
              <w:t>15</w:t>
            </w:r>
            <w:r w:rsidRPr="00ED143D" w:rsidR="00FB3509">
              <w:t>4</w:t>
            </w:r>
          </w:p>
        </w:tc>
        <w:tc>
          <w:tcPr>
            <w:tcW w:w="1870" w:type="dxa"/>
          </w:tcPr>
          <w:p w:rsidR="00E07237" w:rsidRPr="00ED143D" w:rsidP="00847AA5">
            <w:pPr>
              <w:pStyle w:val="ListBullet2"/>
              <w:numPr>
                <w:ilvl w:val="0"/>
                <w:numId w:val="0"/>
              </w:numPr>
              <w:spacing w:line="480" w:lineRule="auto"/>
              <w:jc w:val="center"/>
            </w:pPr>
            <w:r w:rsidRPr="00ED143D">
              <w:t>15</w:t>
            </w:r>
            <w:r w:rsidRPr="00ED143D" w:rsidR="00FB3509">
              <w:t>9</w:t>
            </w:r>
          </w:p>
        </w:tc>
        <w:tc>
          <w:tcPr>
            <w:tcW w:w="1870" w:type="dxa"/>
          </w:tcPr>
          <w:p w:rsidR="00E07237" w:rsidRPr="00ED143D" w:rsidP="00847AA5">
            <w:pPr>
              <w:pStyle w:val="ListBullet2"/>
              <w:numPr>
                <w:ilvl w:val="0"/>
                <w:numId w:val="0"/>
              </w:numPr>
              <w:spacing w:line="480" w:lineRule="auto"/>
              <w:jc w:val="center"/>
            </w:pPr>
            <w:r w:rsidRPr="00ED143D">
              <w:t>8</w:t>
            </w:r>
          </w:p>
        </w:tc>
      </w:tr>
      <w:tr w:rsidTr="00C93B39">
        <w:tblPrEx>
          <w:tblW w:w="0" w:type="auto"/>
          <w:tblLook w:val="0000"/>
        </w:tblPrEx>
        <w:tc>
          <w:tcPr>
            <w:tcW w:w="1871" w:type="dxa"/>
          </w:tcPr>
          <w:p w:rsidR="00E07237" w:rsidRPr="00C0109A" w:rsidP="00847AA5">
            <w:pPr>
              <w:pStyle w:val="ListBullet2"/>
              <w:numPr>
                <w:ilvl w:val="0"/>
                <w:numId w:val="0"/>
              </w:numPr>
              <w:spacing w:line="480" w:lineRule="auto"/>
              <w:jc w:val="center"/>
            </w:pPr>
            <w:r w:rsidRPr="00C0109A">
              <w:t>ERISA</w:t>
            </w:r>
          </w:p>
        </w:tc>
        <w:tc>
          <w:tcPr>
            <w:tcW w:w="1870" w:type="dxa"/>
          </w:tcPr>
          <w:p w:rsidR="00E07237" w:rsidRPr="00ED143D" w:rsidP="00847AA5">
            <w:pPr>
              <w:pStyle w:val="ListBullet2"/>
              <w:numPr>
                <w:ilvl w:val="0"/>
                <w:numId w:val="0"/>
              </w:numPr>
              <w:spacing w:line="480" w:lineRule="auto"/>
              <w:jc w:val="center"/>
            </w:pPr>
            <w:r w:rsidRPr="00ED143D">
              <w:t>4</w:t>
            </w:r>
          </w:p>
        </w:tc>
        <w:tc>
          <w:tcPr>
            <w:tcW w:w="1869" w:type="dxa"/>
          </w:tcPr>
          <w:p w:rsidR="00E07237" w:rsidRPr="00ED143D" w:rsidP="00847AA5">
            <w:pPr>
              <w:pStyle w:val="ListBullet2"/>
              <w:numPr>
                <w:ilvl w:val="0"/>
                <w:numId w:val="0"/>
              </w:numPr>
              <w:spacing w:line="480" w:lineRule="auto"/>
              <w:jc w:val="center"/>
            </w:pPr>
            <w:r w:rsidRPr="00ED143D">
              <w:t>0</w:t>
            </w:r>
          </w:p>
        </w:tc>
        <w:tc>
          <w:tcPr>
            <w:tcW w:w="1870" w:type="dxa"/>
          </w:tcPr>
          <w:p w:rsidR="00E07237" w:rsidRPr="00ED143D" w:rsidP="00847AA5">
            <w:pPr>
              <w:pStyle w:val="ListBullet2"/>
              <w:numPr>
                <w:ilvl w:val="0"/>
                <w:numId w:val="0"/>
              </w:numPr>
              <w:spacing w:line="480" w:lineRule="auto"/>
              <w:jc w:val="center"/>
            </w:pPr>
            <w:r w:rsidRPr="00ED143D">
              <w:t>3</w:t>
            </w:r>
          </w:p>
        </w:tc>
        <w:tc>
          <w:tcPr>
            <w:tcW w:w="1870" w:type="dxa"/>
          </w:tcPr>
          <w:p w:rsidR="00E07237" w:rsidRPr="00ED143D" w:rsidP="00847AA5">
            <w:pPr>
              <w:pStyle w:val="ListBullet2"/>
              <w:numPr>
                <w:ilvl w:val="0"/>
                <w:numId w:val="0"/>
              </w:numPr>
              <w:spacing w:line="480" w:lineRule="auto"/>
              <w:jc w:val="center"/>
            </w:pPr>
            <w:r w:rsidRPr="00ED143D">
              <w:t>1</w:t>
            </w:r>
          </w:p>
        </w:tc>
      </w:tr>
      <w:tr w:rsidTr="00C93B39">
        <w:tblPrEx>
          <w:tblW w:w="0" w:type="auto"/>
          <w:tblLook w:val="0000"/>
        </w:tblPrEx>
        <w:tc>
          <w:tcPr>
            <w:tcW w:w="1871" w:type="dxa"/>
          </w:tcPr>
          <w:p w:rsidR="00E07237" w:rsidRPr="00C0109A" w:rsidP="00847AA5">
            <w:pPr>
              <w:pStyle w:val="ListBullet2"/>
              <w:numPr>
                <w:ilvl w:val="0"/>
                <w:numId w:val="0"/>
              </w:numPr>
              <w:spacing w:line="480" w:lineRule="auto"/>
              <w:jc w:val="center"/>
            </w:pPr>
            <w:r w:rsidRPr="00C0109A">
              <w:t>Labor Relations</w:t>
            </w:r>
          </w:p>
        </w:tc>
        <w:tc>
          <w:tcPr>
            <w:tcW w:w="1870" w:type="dxa"/>
          </w:tcPr>
          <w:p w:rsidR="00E07237" w:rsidRPr="00ED143D" w:rsidP="00847AA5">
            <w:pPr>
              <w:pStyle w:val="ListBullet2"/>
              <w:numPr>
                <w:ilvl w:val="0"/>
                <w:numId w:val="0"/>
              </w:numPr>
              <w:spacing w:line="480" w:lineRule="auto"/>
              <w:jc w:val="center"/>
            </w:pPr>
            <w:r w:rsidRPr="00ED143D">
              <w:t>3</w:t>
            </w:r>
          </w:p>
        </w:tc>
        <w:tc>
          <w:tcPr>
            <w:tcW w:w="1869" w:type="dxa"/>
          </w:tcPr>
          <w:p w:rsidR="00E07237" w:rsidRPr="00ED143D" w:rsidP="00847AA5">
            <w:pPr>
              <w:pStyle w:val="ListBullet2"/>
              <w:numPr>
                <w:ilvl w:val="0"/>
                <w:numId w:val="0"/>
              </w:numPr>
              <w:spacing w:line="480" w:lineRule="auto"/>
              <w:jc w:val="center"/>
            </w:pPr>
            <w:r w:rsidRPr="00ED143D">
              <w:t>1</w:t>
            </w:r>
          </w:p>
        </w:tc>
        <w:tc>
          <w:tcPr>
            <w:tcW w:w="1870" w:type="dxa"/>
          </w:tcPr>
          <w:p w:rsidR="00E07237" w:rsidRPr="00ED143D" w:rsidP="00847AA5">
            <w:pPr>
              <w:pStyle w:val="ListBullet2"/>
              <w:numPr>
                <w:ilvl w:val="0"/>
                <w:numId w:val="0"/>
              </w:numPr>
              <w:spacing w:line="480" w:lineRule="auto"/>
              <w:jc w:val="center"/>
            </w:pPr>
            <w:r w:rsidRPr="00ED143D">
              <w:t>4</w:t>
            </w:r>
          </w:p>
        </w:tc>
        <w:tc>
          <w:tcPr>
            <w:tcW w:w="1870" w:type="dxa"/>
          </w:tcPr>
          <w:p w:rsidR="00E07237" w:rsidRPr="00ED143D" w:rsidP="00847AA5">
            <w:pPr>
              <w:pStyle w:val="ListBullet2"/>
              <w:numPr>
                <w:ilvl w:val="0"/>
                <w:numId w:val="0"/>
              </w:numPr>
              <w:spacing w:line="480" w:lineRule="auto"/>
              <w:jc w:val="center"/>
            </w:pPr>
            <w:r w:rsidRPr="00ED143D">
              <w:t>0</w:t>
            </w:r>
          </w:p>
        </w:tc>
      </w:tr>
      <w:tr w:rsidTr="00C93B39">
        <w:tblPrEx>
          <w:tblW w:w="0" w:type="auto"/>
          <w:tblLook w:val="0000"/>
        </w:tblPrEx>
        <w:tc>
          <w:tcPr>
            <w:tcW w:w="1871" w:type="dxa"/>
          </w:tcPr>
          <w:p w:rsidR="00E07237" w:rsidRPr="00C0109A" w:rsidP="00847AA5">
            <w:pPr>
              <w:pStyle w:val="ListBullet2"/>
              <w:numPr>
                <w:ilvl w:val="0"/>
                <w:numId w:val="0"/>
              </w:numPr>
              <w:spacing w:line="480" w:lineRule="auto"/>
              <w:jc w:val="center"/>
            </w:pPr>
            <w:r w:rsidRPr="00C0109A">
              <w:t>Leaves of Absence</w:t>
            </w:r>
          </w:p>
        </w:tc>
        <w:tc>
          <w:tcPr>
            <w:tcW w:w="1870" w:type="dxa"/>
          </w:tcPr>
          <w:p w:rsidR="00E07237" w:rsidRPr="00ED143D" w:rsidP="00847AA5">
            <w:pPr>
              <w:pStyle w:val="ListBullet2"/>
              <w:numPr>
                <w:ilvl w:val="0"/>
                <w:numId w:val="0"/>
              </w:numPr>
              <w:spacing w:line="480" w:lineRule="auto"/>
              <w:jc w:val="center"/>
            </w:pPr>
            <w:r w:rsidRPr="00ED143D">
              <w:t>2</w:t>
            </w:r>
          </w:p>
        </w:tc>
        <w:tc>
          <w:tcPr>
            <w:tcW w:w="1869" w:type="dxa"/>
          </w:tcPr>
          <w:p w:rsidR="00E07237" w:rsidRPr="00ED143D" w:rsidP="00847AA5">
            <w:pPr>
              <w:pStyle w:val="ListBullet2"/>
              <w:numPr>
                <w:ilvl w:val="0"/>
                <w:numId w:val="0"/>
              </w:numPr>
              <w:spacing w:line="480" w:lineRule="auto"/>
              <w:jc w:val="center"/>
            </w:pPr>
            <w:r w:rsidRPr="00ED143D">
              <w:t>9</w:t>
            </w:r>
          </w:p>
        </w:tc>
        <w:tc>
          <w:tcPr>
            <w:tcW w:w="1870" w:type="dxa"/>
          </w:tcPr>
          <w:p w:rsidR="00E07237" w:rsidRPr="00ED143D" w:rsidP="00847AA5">
            <w:pPr>
              <w:pStyle w:val="ListBullet2"/>
              <w:numPr>
                <w:ilvl w:val="0"/>
                <w:numId w:val="0"/>
              </w:numPr>
              <w:spacing w:line="480" w:lineRule="auto"/>
              <w:jc w:val="center"/>
            </w:pPr>
            <w:r w:rsidRPr="00ED143D">
              <w:t>10</w:t>
            </w:r>
          </w:p>
        </w:tc>
        <w:tc>
          <w:tcPr>
            <w:tcW w:w="1870" w:type="dxa"/>
          </w:tcPr>
          <w:p w:rsidR="00E07237" w:rsidRPr="00ED143D" w:rsidP="00847AA5">
            <w:pPr>
              <w:pStyle w:val="ListBullet2"/>
              <w:numPr>
                <w:ilvl w:val="0"/>
                <w:numId w:val="0"/>
              </w:numPr>
              <w:spacing w:line="480" w:lineRule="auto"/>
              <w:jc w:val="center"/>
            </w:pPr>
            <w:r w:rsidRPr="00ED143D">
              <w:t>1</w:t>
            </w:r>
          </w:p>
        </w:tc>
      </w:tr>
      <w:tr w:rsidTr="00C93B39">
        <w:tblPrEx>
          <w:tblW w:w="0" w:type="auto"/>
          <w:tblLook w:val="0000"/>
        </w:tblPrEx>
        <w:tc>
          <w:tcPr>
            <w:tcW w:w="1871" w:type="dxa"/>
          </w:tcPr>
          <w:p w:rsidR="00C93B39" w:rsidRPr="00C0109A" w:rsidP="00847AA5">
            <w:pPr>
              <w:pStyle w:val="ListBullet2"/>
              <w:numPr>
                <w:ilvl w:val="0"/>
                <w:numId w:val="0"/>
              </w:numPr>
              <w:spacing w:line="480" w:lineRule="auto"/>
              <w:jc w:val="center"/>
            </w:pPr>
            <w:r w:rsidRPr="00C0109A">
              <w:t>Other Civil Litigation</w:t>
            </w:r>
          </w:p>
        </w:tc>
        <w:tc>
          <w:tcPr>
            <w:tcW w:w="1870" w:type="dxa"/>
          </w:tcPr>
          <w:p w:rsidR="00C93B39" w:rsidRPr="00ED143D" w:rsidP="00847AA5">
            <w:pPr>
              <w:pStyle w:val="ListBullet2"/>
              <w:numPr>
                <w:ilvl w:val="0"/>
                <w:numId w:val="0"/>
              </w:numPr>
              <w:spacing w:line="480" w:lineRule="auto"/>
              <w:jc w:val="center"/>
            </w:pPr>
            <w:r w:rsidRPr="00ED143D">
              <w:t>6</w:t>
            </w:r>
          </w:p>
        </w:tc>
        <w:tc>
          <w:tcPr>
            <w:tcW w:w="1869" w:type="dxa"/>
          </w:tcPr>
          <w:p w:rsidR="00C93B39" w:rsidRPr="00ED143D" w:rsidP="00847AA5">
            <w:pPr>
              <w:pStyle w:val="ListBullet2"/>
              <w:numPr>
                <w:ilvl w:val="0"/>
                <w:numId w:val="0"/>
              </w:numPr>
              <w:spacing w:line="480" w:lineRule="auto"/>
              <w:jc w:val="center"/>
            </w:pPr>
            <w:r w:rsidRPr="00ED143D">
              <w:t>19</w:t>
            </w:r>
          </w:p>
        </w:tc>
        <w:tc>
          <w:tcPr>
            <w:tcW w:w="1870" w:type="dxa"/>
          </w:tcPr>
          <w:p w:rsidR="00C93B39" w:rsidRPr="00ED143D" w:rsidP="00847AA5">
            <w:pPr>
              <w:pStyle w:val="ListBullet2"/>
              <w:numPr>
                <w:ilvl w:val="0"/>
                <w:numId w:val="0"/>
              </w:numPr>
              <w:spacing w:line="480" w:lineRule="auto"/>
              <w:jc w:val="center"/>
            </w:pPr>
            <w:r w:rsidRPr="00ED143D">
              <w:t>20</w:t>
            </w:r>
          </w:p>
        </w:tc>
        <w:tc>
          <w:tcPr>
            <w:tcW w:w="1870" w:type="dxa"/>
          </w:tcPr>
          <w:p w:rsidR="00C93B39" w:rsidRPr="00ED143D" w:rsidP="00847AA5">
            <w:pPr>
              <w:pStyle w:val="ListBullet2"/>
              <w:numPr>
                <w:ilvl w:val="0"/>
                <w:numId w:val="0"/>
              </w:numPr>
              <w:spacing w:line="480" w:lineRule="auto"/>
              <w:jc w:val="center"/>
            </w:pPr>
            <w:r w:rsidRPr="00ED143D">
              <w:t>5</w:t>
            </w:r>
          </w:p>
        </w:tc>
      </w:tr>
      <w:tr w:rsidTr="00C93B39">
        <w:tblPrEx>
          <w:tblW w:w="0" w:type="auto"/>
          <w:tblLook w:val="0000"/>
        </w:tblPrEx>
        <w:tc>
          <w:tcPr>
            <w:tcW w:w="1871" w:type="dxa"/>
          </w:tcPr>
          <w:p w:rsidR="00C93B39" w:rsidRPr="00C0109A" w:rsidP="00847AA5">
            <w:pPr>
              <w:pStyle w:val="ListBullet2"/>
              <w:numPr>
                <w:ilvl w:val="0"/>
                <w:numId w:val="0"/>
              </w:numPr>
              <w:spacing w:line="480" w:lineRule="auto"/>
              <w:jc w:val="center"/>
            </w:pPr>
            <w:r w:rsidRPr="00C0109A">
              <w:t>Retaliation</w:t>
            </w:r>
          </w:p>
        </w:tc>
        <w:tc>
          <w:tcPr>
            <w:tcW w:w="1870" w:type="dxa"/>
          </w:tcPr>
          <w:p w:rsidR="00C93B39" w:rsidRPr="00ED143D" w:rsidP="00847AA5">
            <w:pPr>
              <w:pStyle w:val="ListBullet2"/>
              <w:numPr>
                <w:ilvl w:val="0"/>
                <w:numId w:val="0"/>
              </w:numPr>
              <w:spacing w:line="480" w:lineRule="auto"/>
              <w:jc w:val="center"/>
            </w:pPr>
            <w:r w:rsidRPr="00ED143D">
              <w:t>1</w:t>
            </w:r>
          </w:p>
        </w:tc>
        <w:tc>
          <w:tcPr>
            <w:tcW w:w="1869" w:type="dxa"/>
          </w:tcPr>
          <w:p w:rsidR="00C93B39" w:rsidRPr="00ED143D" w:rsidP="00847AA5">
            <w:pPr>
              <w:pStyle w:val="ListBullet2"/>
              <w:numPr>
                <w:ilvl w:val="0"/>
                <w:numId w:val="0"/>
              </w:numPr>
              <w:spacing w:line="480" w:lineRule="auto"/>
              <w:jc w:val="center"/>
            </w:pPr>
            <w:r w:rsidRPr="00ED143D">
              <w:t>28</w:t>
            </w:r>
          </w:p>
        </w:tc>
        <w:tc>
          <w:tcPr>
            <w:tcW w:w="1870" w:type="dxa"/>
          </w:tcPr>
          <w:p w:rsidR="00C93B39" w:rsidRPr="00ED143D" w:rsidP="00847AA5">
            <w:pPr>
              <w:pStyle w:val="ListBullet2"/>
              <w:numPr>
                <w:ilvl w:val="0"/>
                <w:numId w:val="0"/>
              </w:numPr>
              <w:spacing w:line="480" w:lineRule="auto"/>
              <w:jc w:val="center"/>
            </w:pPr>
            <w:r w:rsidRPr="00ED143D">
              <w:t>27</w:t>
            </w:r>
          </w:p>
        </w:tc>
        <w:tc>
          <w:tcPr>
            <w:tcW w:w="1870" w:type="dxa"/>
          </w:tcPr>
          <w:p w:rsidR="00C93B39" w:rsidRPr="00ED143D" w:rsidP="00847AA5">
            <w:pPr>
              <w:pStyle w:val="ListBullet2"/>
              <w:numPr>
                <w:ilvl w:val="0"/>
                <w:numId w:val="0"/>
              </w:numPr>
              <w:spacing w:line="480" w:lineRule="auto"/>
              <w:jc w:val="center"/>
            </w:pPr>
            <w:r w:rsidRPr="00ED143D">
              <w:t>2</w:t>
            </w:r>
          </w:p>
        </w:tc>
      </w:tr>
      <w:tr w:rsidTr="00C93B39">
        <w:tblPrEx>
          <w:tblW w:w="0" w:type="auto"/>
          <w:tblLook w:val="0000"/>
        </w:tblPrEx>
        <w:tc>
          <w:tcPr>
            <w:tcW w:w="1871" w:type="dxa"/>
          </w:tcPr>
          <w:p w:rsidR="00C93B39" w:rsidRPr="00C0109A" w:rsidP="00847AA5">
            <w:pPr>
              <w:pStyle w:val="ListBullet2"/>
              <w:numPr>
                <w:ilvl w:val="0"/>
                <w:numId w:val="0"/>
              </w:numPr>
              <w:spacing w:line="480" w:lineRule="auto"/>
              <w:jc w:val="center"/>
            </w:pPr>
            <w:r w:rsidRPr="00C0109A">
              <w:t>Unfair Competition</w:t>
            </w:r>
          </w:p>
        </w:tc>
        <w:tc>
          <w:tcPr>
            <w:tcW w:w="1870" w:type="dxa"/>
          </w:tcPr>
          <w:p w:rsidR="00C93B39" w:rsidRPr="00ED143D" w:rsidP="00847AA5">
            <w:pPr>
              <w:pStyle w:val="ListBullet2"/>
              <w:numPr>
                <w:ilvl w:val="0"/>
                <w:numId w:val="0"/>
              </w:numPr>
              <w:spacing w:line="480" w:lineRule="auto"/>
              <w:jc w:val="center"/>
            </w:pPr>
            <w:r w:rsidRPr="00ED143D">
              <w:t>0</w:t>
            </w:r>
          </w:p>
        </w:tc>
        <w:tc>
          <w:tcPr>
            <w:tcW w:w="1869" w:type="dxa"/>
          </w:tcPr>
          <w:p w:rsidR="00C93B39" w:rsidRPr="00ED143D" w:rsidP="00847AA5">
            <w:pPr>
              <w:pStyle w:val="ListBullet2"/>
              <w:numPr>
                <w:ilvl w:val="0"/>
                <w:numId w:val="0"/>
              </w:numPr>
              <w:spacing w:line="480" w:lineRule="auto"/>
              <w:jc w:val="center"/>
            </w:pPr>
            <w:r w:rsidRPr="00ED143D">
              <w:t>1</w:t>
            </w:r>
          </w:p>
        </w:tc>
        <w:tc>
          <w:tcPr>
            <w:tcW w:w="1870" w:type="dxa"/>
          </w:tcPr>
          <w:p w:rsidR="00C93B39" w:rsidRPr="00ED143D" w:rsidP="00847AA5">
            <w:pPr>
              <w:pStyle w:val="ListBullet2"/>
              <w:numPr>
                <w:ilvl w:val="0"/>
                <w:numId w:val="0"/>
              </w:numPr>
              <w:spacing w:line="480" w:lineRule="auto"/>
              <w:jc w:val="center"/>
            </w:pPr>
            <w:r w:rsidRPr="00ED143D">
              <w:t>1</w:t>
            </w:r>
          </w:p>
        </w:tc>
        <w:tc>
          <w:tcPr>
            <w:tcW w:w="1870" w:type="dxa"/>
          </w:tcPr>
          <w:p w:rsidR="00C93B39" w:rsidRPr="00ED143D" w:rsidP="00847AA5">
            <w:pPr>
              <w:pStyle w:val="ListBullet2"/>
              <w:numPr>
                <w:ilvl w:val="0"/>
                <w:numId w:val="0"/>
              </w:numPr>
              <w:spacing w:line="480" w:lineRule="auto"/>
              <w:jc w:val="center"/>
            </w:pPr>
            <w:r w:rsidRPr="00ED143D">
              <w:t>0</w:t>
            </w:r>
          </w:p>
        </w:tc>
      </w:tr>
      <w:tr w:rsidTr="00C93B39">
        <w:tblPrEx>
          <w:tblW w:w="0" w:type="auto"/>
          <w:tblLook w:val="0000"/>
        </w:tblPrEx>
        <w:tc>
          <w:tcPr>
            <w:tcW w:w="1871" w:type="dxa"/>
          </w:tcPr>
          <w:p w:rsidR="00C93B39" w:rsidRPr="00C0109A" w:rsidP="00847AA5">
            <w:pPr>
              <w:pStyle w:val="ListBullet2"/>
              <w:numPr>
                <w:ilvl w:val="0"/>
                <w:numId w:val="0"/>
              </w:numPr>
              <w:spacing w:line="480" w:lineRule="auto"/>
              <w:jc w:val="center"/>
            </w:pPr>
            <w:r w:rsidRPr="00C0109A">
              <w:t>W</w:t>
            </w:r>
            <w:r w:rsidRPr="00C0109A" w:rsidR="00F663B1">
              <w:t>age</w:t>
            </w:r>
            <w:r w:rsidRPr="00C0109A">
              <w:t>/H</w:t>
            </w:r>
            <w:r w:rsidRPr="00C0109A" w:rsidR="00F663B1">
              <w:t>our</w:t>
            </w:r>
          </w:p>
        </w:tc>
        <w:tc>
          <w:tcPr>
            <w:tcW w:w="1870" w:type="dxa"/>
          </w:tcPr>
          <w:p w:rsidR="00C93B39" w:rsidRPr="00ED143D" w:rsidP="00847AA5">
            <w:pPr>
              <w:pStyle w:val="ListBullet2"/>
              <w:numPr>
                <w:ilvl w:val="0"/>
                <w:numId w:val="0"/>
              </w:numPr>
              <w:spacing w:line="480" w:lineRule="auto"/>
              <w:jc w:val="center"/>
            </w:pPr>
            <w:r w:rsidRPr="00ED143D">
              <w:t>5</w:t>
            </w:r>
          </w:p>
        </w:tc>
        <w:tc>
          <w:tcPr>
            <w:tcW w:w="1869" w:type="dxa"/>
          </w:tcPr>
          <w:p w:rsidR="00C93B39" w:rsidRPr="00ED143D" w:rsidP="00847AA5">
            <w:pPr>
              <w:pStyle w:val="ListBullet2"/>
              <w:numPr>
                <w:ilvl w:val="0"/>
                <w:numId w:val="0"/>
              </w:numPr>
              <w:spacing w:line="480" w:lineRule="auto"/>
              <w:jc w:val="center"/>
            </w:pPr>
            <w:r w:rsidRPr="00ED143D">
              <w:t>3</w:t>
            </w:r>
            <w:r w:rsidRPr="00ED143D" w:rsidR="003506E4">
              <w:t>9</w:t>
            </w:r>
          </w:p>
        </w:tc>
        <w:tc>
          <w:tcPr>
            <w:tcW w:w="1870" w:type="dxa"/>
          </w:tcPr>
          <w:p w:rsidR="00C93B39" w:rsidRPr="00ED143D" w:rsidP="00847AA5">
            <w:pPr>
              <w:pStyle w:val="ListBullet2"/>
              <w:numPr>
                <w:ilvl w:val="0"/>
                <w:numId w:val="0"/>
              </w:numPr>
              <w:spacing w:line="480" w:lineRule="auto"/>
              <w:jc w:val="center"/>
            </w:pPr>
            <w:r w:rsidRPr="00ED143D">
              <w:t>2</w:t>
            </w:r>
            <w:r w:rsidRPr="00ED143D" w:rsidR="003506E4">
              <w:t>4</w:t>
            </w:r>
          </w:p>
        </w:tc>
        <w:tc>
          <w:tcPr>
            <w:tcW w:w="1870" w:type="dxa"/>
          </w:tcPr>
          <w:p w:rsidR="00C93B39" w:rsidRPr="00ED143D" w:rsidP="00847AA5">
            <w:pPr>
              <w:pStyle w:val="ListBullet2"/>
              <w:numPr>
                <w:ilvl w:val="0"/>
                <w:numId w:val="0"/>
              </w:numPr>
              <w:spacing w:line="480" w:lineRule="auto"/>
              <w:jc w:val="center"/>
            </w:pPr>
            <w:r w:rsidRPr="00ED143D">
              <w:t>20</w:t>
            </w:r>
          </w:p>
        </w:tc>
      </w:tr>
      <w:tr w:rsidTr="00C93B39">
        <w:tblPrEx>
          <w:tblW w:w="0" w:type="auto"/>
          <w:tblLook w:val="0000"/>
        </w:tblPrEx>
        <w:tc>
          <w:tcPr>
            <w:tcW w:w="1871" w:type="dxa"/>
          </w:tcPr>
          <w:p w:rsidR="00C93B39" w:rsidRPr="00C0109A" w:rsidP="00847AA5">
            <w:pPr>
              <w:pStyle w:val="ListBullet2"/>
              <w:numPr>
                <w:ilvl w:val="0"/>
                <w:numId w:val="0"/>
              </w:numPr>
              <w:spacing w:line="480" w:lineRule="auto"/>
              <w:jc w:val="center"/>
            </w:pPr>
            <w:r w:rsidRPr="00C0109A">
              <w:t>WARN</w:t>
            </w:r>
          </w:p>
        </w:tc>
        <w:tc>
          <w:tcPr>
            <w:tcW w:w="1870" w:type="dxa"/>
          </w:tcPr>
          <w:p w:rsidR="00C93B39" w:rsidRPr="00ED143D" w:rsidP="00847AA5">
            <w:pPr>
              <w:pStyle w:val="ListBullet2"/>
              <w:numPr>
                <w:ilvl w:val="0"/>
                <w:numId w:val="0"/>
              </w:numPr>
              <w:spacing w:line="480" w:lineRule="auto"/>
              <w:jc w:val="center"/>
            </w:pPr>
            <w:r w:rsidRPr="00ED143D">
              <w:t>1</w:t>
            </w:r>
          </w:p>
        </w:tc>
        <w:tc>
          <w:tcPr>
            <w:tcW w:w="1869" w:type="dxa"/>
          </w:tcPr>
          <w:p w:rsidR="00C93B39" w:rsidRPr="00ED143D" w:rsidP="00847AA5">
            <w:pPr>
              <w:pStyle w:val="ListBullet2"/>
              <w:numPr>
                <w:ilvl w:val="0"/>
                <w:numId w:val="0"/>
              </w:numPr>
              <w:spacing w:line="480" w:lineRule="auto"/>
              <w:jc w:val="center"/>
            </w:pPr>
            <w:r w:rsidRPr="00ED143D">
              <w:t>1</w:t>
            </w:r>
          </w:p>
        </w:tc>
        <w:tc>
          <w:tcPr>
            <w:tcW w:w="1870" w:type="dxa"/>
          </w:tcPr>
          <w:p w:rsidR="00C93B39" w:rsidRPr="00ED143D" w:rsidP="00847AA5">
            <w:pPr>
              <w:pStyle w:val="ListBullet2"/>
              <w:numPr>
                <w:ilvl w:val="0"/>
                <w:numId w:val="0"/>
              </w:numPr>
              <w:spacing w:line="480" w:lineRule="auto"/>
              <w:jc w:val="center"/>
            </w:pPr>
            <w:r w:rsidRPr="00ED143D">
              <w:t>0</w:t>
            </w:r>
          </w:p>
        </w:tc>
        <w:tc>
          <w:tcPr>
            <w:tcW w:w="1870" w:type="dxa"/>
          </w:tcPr>
          <w:p w:rsidR="00C93B39" w:rsidRPr="00ED143D" w:rsidP="00847AA5">
            <w:pPr>
              <w:pStyle w:val="ListBullet2"/>
              <w:numPr>
                <w:ilvl w:val="0"/>
                <w:numId w:val="0"/>
              </w:numPr>
              <w:spacing w:line="480" w:lineRule="auto"/>
              <w:jc w:val="center"/>
            </w:pPr>
            <w:r w:rsidRPr="00ED143D">
              <w:t>2</w:t>
            </w:r>
          </w:p>
        </w:tc>
      </w:tr>
      <w:tr w:rsidTr="00C93B39">
        <w:tblPrEx>
          <w:tblW w:w="0" w:type="auto"/>
          <w:tblLook w:val="0000"/>
        </w:tblPrEx>
        <w:tc>
          <w:tcPr>
            <w:tcW w:w="1871" w:type="dxa"/>
          </w:tcPr>
          <w:p w:rsidR="00C93B39" w:rsidRPr="00C0109A" w:rsidP="00847AA5">
            <w:pPr>
              <w:pStyle w:val="ListBullet2"/>
              <w:numPr>
                <w:ilvl w:val="0"/>
                <w:numId w:val="0"/>
              </w:numPr>
              <w:spacing w:line="480" w:lineRule="auto"/>
              <w:jc w:val="center"/>
            </w:pPr>
            <w:r w:rsidRPr="00C0109A">
              <w:t>Workplace Safety</w:t>
            </w:r>
          </w:p>
        </w:tc>
        <w:tc>
          <w:tcPr>
            <w:tcW w:w="1870" w:type="dxa"/>
          </w:tcPr>
          <w:p w:rsidR="00C93B39" w:rsidRPr="00ED143D" w:rsidP="00847AA5">
            <w:pPr>
              <w:pStyle w:val="ListBullet2"/>
              <w:numPr>
                <w:ilvl w:val="0"/>
                <w:numId w:val="0"/>
              </w:numPr>
              <w:spacing w:line="480" w:lineRule="auto"/>
              <w:jc w:val="center"/>
            </w:pPr>
            <w:r w:rsidRPr="00ED143D">
              <w:t>7</w:t>
            </w:r>
          </w:p>
        </w:tc>
        <w:tc>
          <w:tcPr>
            <w:tcW w:w="1869" w:type="dxa"/>
          </w:tcPr>
          <w:p w:rsidR="00C93B39" w:rsidRPr="00ED143D" w:rsidP="00847AA5">
            <w:pPr>
              <w:pStyle w:val="ListBullet2"/>
              <w:numPr>
                <w:ilvl w:val="0"/>
                <w:numId w:val="0"/>
              </w:numPr>
              <w:spacing w:line="480" w:lineRule="auto"/>
              <w:jc w:val="center"/>
            </w:pPr>
            <w:r w:rsidRPr="00ED143D">
              <w:t>24</w:t>
            </w:r>
          </w:p>
        </w:tc>
        <w:tc>
          <w:tcPr>
            <w:tcW w:w="1870" w:type="dxa"/>
          </w:tcPr>
          <w:p w:rsidR="00C93B39" w:rsidRPr="00ED143D" w:rsidP="00847AA5">
            <w:pPr>
              <w:pStyle w:val="ListBullet2"/>
              <w:numPr>
                <w:ilvl w:val="0"/>
                <w:numId w:val="0"/>
              </w:numPr>
              <w:spacing w:line="480" w:lineRule="auto"/>
              <w:jc w:val="center"/>
            </w:pPr>
            <w:r w:rsidRPr="00ED143D">
              <w:t>25</w:t>
            </w:r>
          </w:p>
        </w:tc>
        <w:tc>
          <w:tcPr>
            <w:tcW w:w="1870" w:type="dxa"/>
          </w:tcPr>
          <w:p w:rsidR="00C93B39" w:rsidRPr="00ED143D" w:rsidP="00847AA5">
            <w:pPr>
              <w:pStyle w:val="ListBullet2"/>
              <w:numPr>
                <w:ilvl w:val="0"/>
                <w:numId w:val="0"/>
              </w:numPr>
              <w:spacing w:line="480" w:lineRule="auto"/>
              <w:jc w:val="center"/>
            </w:pPr>
            <w:r w:rsidRPr="00ED143D">
              <w:t>6</w:t>
            </w:r>
          </w:p>
        </w:tc>
      </w:tr>
      <w:tr w:rsidTr="00C93B39">
        <w:tblPrEx>
          <w:tblW w:w="0" w:type="auto"/>
          <w:tblLook w:val="0000"/>
        </w:tblPrEx>
        <w:tc>
          <w:tcPr>
            <w:tcW w:w="1871" w:type="dxa"/>
          </w:tcPr>
          <w:p w:rsidR="00C93B39" w:rsidRPr="00C0109A" w:rsidP="00847AA5">
            <w:pPr>
              <w:pStyle w:val="ListBullet2"/>
              <w:numPr>
                <w:ilvl w:val="0"/>
                <w:numId w:val="0"/>
              </w:numPr>
              <w:spacing w:line="480" w:lineRule="auto"/>
              <w:jc w:val="center"/>
            </w:pPr>
            <w:r w:rsidRPr="00C0109A">
              <w:t>Total</w:t>
            </w:r>
          </w:p>
        </w:tc>
        <w:tc>
          <w:tcPr>
            <w:tcW w:w="1870" w:type="dxa"/>
          </w:tcPr>
          <w:p w:rsidR="00C93B39" w:rsidRPr="00ED143D" w:rsidP="00847AA5">
            <w:pPr>
              <w:pStyle w:val="ListBullet2"/>
              <w:numPr>
                <w:ilvl w:val="0"/>
                <w:numId w:val="0"/>
              </w:numPr>
              <w:spacing w:line="480" w:lineRule="auto"/>
              <w:jc w:val="center"/>
            </w:pPr>
            <w:r w:rsidRPr="00ED143D">
              <w:t>45</w:t>
            </w:r>
          </w:p>
        </w:tc>
        <w:tc>
          <w:tcPr>
            <w:tcW w:w="1869" w:type="dxa"/>
          </w:tcPr>
          <w:p w:rsidR="00C93B39" w:rsidRPr="00ED143D" w:rsidP="00847AA5">
            <w:pPr>
              <w:pStyle w:val="ListBullet2"/>
              <w:numPr>
                <w:ilvl w:val="0"/>
                <w:numId w:val="0"/>
              </w:numPr>
              <w:spacing w:line="480" w:lineRule="auto"/>
              <w:jc w:val="center"/>
            </w:pPr>
            <w:r w:rsidRPr="00ED143D">
              <w:t>3</w:t>
            </w:r>
            <w:r w:rsidRPr="00ED143D" w:rsidR="003506E4">
              <w:t>10</w:t>
            </w:r>
          </w:p>
        </w:tc>
        <w:tc>
          <w:tcPr>
            <w:tcW w:w="1870" w:type="dxa"/>
          </w:tcPr>
          <w:p w:rsidR="00C93B39" w:rsidRPr="00ED143D" w:rsidP="00847AA5">
            <w:pPr>
              <w:pStyle w:val="ListBullet2"/>
              <w:numPr>
                <w:ilvl w:val="0"/>
                <w:numId w:val="0"/>
              </w:numPr>
              <w:spacing w:line="480" w:lineRule="auto"/>
              <w:jc w:val="center"/>
            </w:pPr>
            <w:r w:rsidRPr="00ED143D">
              <w:t>306</w:t>
            </w:r>
          </w:p>
        </w:tc>
        <w:tc>
          <w:tcPr>
            <w:tcW w:w="1870" w:type="dxa"/>
          </w:tcPr>
          <w:p w:rsidR="00C93B39" w:rsidRPr="00ED143D" w:rsidP="00847AA5">
            <w:pPr>
              <w:pStyle w:val="ListBullet2"/>
              <w:numPr>
                <w:ilvl w:val="0"/>
                <w:numId w:val="0"/>
              </w:numPr>
              <w:spacing w:line="480" w:lineRule="auto"/>
              <w:jc w:val="center"/>
            </w:pPr>
            <w:r w:rsidRPr="00ED143D">
              <w:t>49</w:t>
            </w:r>
          </w:p>
        </w:tc>
      </w:tr>
    </w:tbl>
    <w:p w:rsidR="00420DBA" w:rsidP="004F2661">
      <w:pPr>
        <w:pStyle w:val="ListBullet2"/>
        <w:numPr>
          <w:ilvl w:val="0"/>
          <w:numId w:val="0"/>
        </w:numPr>
        <w:ind w:left="1440"/>
      </w:pPr>
    </w:p>
    <w:p w:rsidR="00544D81" w:rsidRPr="00544D81" w:rsidP="00544D81">
      <w:pPr>
        <w:pStyle w:val="Level4"/>
        <w:spacing w:line="480" w:lineRule="auto"/>
        <w:rPr>
          <w:b w:val="0"/>
        </w:rPr>
      </w:pPr>
      <w:r>
        <w:t xml:space="preserve">Legislative Responses To </w:t>
      </w:r>
      <w:r w:rsidRPr="00544D81">
        <w:t>Coverage For Essential Workers</w:t>
      </w:r>
    </w:p>
    <w:p w:rsidR="007258FF" w:rsidRPr="00A7391D" w:rsidP="00544D81">
      <w:pPr>
        <w:pStyle w:val="20sp0"/>
        <w:spacing w:after="240"/>
      </w:pPr>
      <w:r w:rsidRPr="00A7391D">
        <w:t xml:space="preserve">In addition to the attempted enactment of AB 1552, relating to Business Interruption Coverage mentioned above, </w:t>
      </w:r>
      <w:r w:rsidRPr="00A7391D" w:rsidR="006B433C">
        <w:t xml:space="preserve">California </w:t>
      </w:r>
      <w:r w:rsidRPr="00A7391D" w:rsidR="00544D81">
        <w:t>Senate Bill 1159</w:t>
      </w:r>
      <w:r w:rsidRPr="00A7391D">
        <w:t xml:space="preserve"> (“SB 1159”) was enacted on September 17, 2020 regarding workers’ compensation claims. SB 1159</w:t>
      </w:r>
      <w:r w:rsidRPr="00A7391D" w:rsidR="00544D81">
        <w:t xml:space="preserve"> codifies and supersedes Governor Newsom’s Executive Order N-62-20, </w:t>
      </w:r>
      <w:r w:rsidRPr="00A7391D" w:rsidR="003B5235">
        <w:t>by establishing</w:t>
      </w:r>
      <w:r w:rsidRPr="00A7391D" w:rsidR="00544D81">
        <w:t xml:space="preserve"> two rebuttable presumptions: </w:t>
      </w:r>
      <w:r w:rsidRPr="00A7391D" w:rsidR="006B433C">
        <w:t>1</w:t>
      </w:r>
      <w:r w:rsidRPr="00A7391D" w:rsidR="006B433C">
        <w:rPr>
          <w:vertAlign w:val="superscript"/>
        </w:rPr>
        <w:t>st</w:t>
      </w:r>
      <w:r w:rsidRPr="00A7391D" w:rsidR="006B433C">
        <w:t xml:space="preserve">, </w:t>
      </w:r>
      <w:r w:rsidRPr="00A7391D" w:rsidR="00544D81">
        <w:t>that an “injury</w:t>
      </w:r>
      <w:r w:rsidRPr="00A7391D" w:rsidR="006B433C">
        <w:t>,</w:t>
      </w:r>
      <w:r w:rsidRPr="00A7391D" w:rsidR="00544D81">
        <w:t>” which includes illness or death resulting from the novel coronavirus, “arose out of and in the course of the employment</w:t>
      </w:r>
      <w:r w:rsidRPr="00A7391D" w:rsidR="006B433C">
        <w:t>,</w:t>
      </w:r>
      <w:r w:rsidRPr="00A7391D" w:rsidR="00544D81">
        <w:t xml:space="preserve">” and </w:t>
      </w:r>
      <w:r w:rsidRPr="00A7391D" w:rsidR="006B433C">
        <w:t>2</w:t>
      </w:r>
      <w:r w:rsidRPr="00A7391D" w:rsidR="006B433C">
        <w:rPr>
          <w:vertAlign w:val="superscript"/>
        </w:rPr>
        <w:t>nd</w:t>
      </w:r>
      <w:r w:rsidRPr="00A7391D" w:rsidR="006B433C">
        <w:t xml:space="preserve">, </w:t>
      </w:r>
      <w:r w:rsidRPr="00A7391D" w:rsidR="00544D81">
        <w:t>that this “injury” is compensable.</w:t>
      </w:r>
      <w:r>
        <w:rPr>
          <w:rStyle w:val="FootnoteReference"/>
        </w:rPr>
        <w:footnoteReference w:id="41"/>
      </w:r>
      <w:r w:rsidRPr="00A7391D" w:rsidR="00544D81">
        <w:t xml:space="preserve"> SB 1159 is currently in effect </w:t>
      </w:r>
      <w:r w:rsidRPr="00A7391D" w:rsidR="006B433C">
        <w:t xml:space="preserve">as California </w:t>
      </w:r>
      <w:r w:rsidRPr="00A7391D" w:rsidR="00A8177B">
        <w:t>Labor</w:t>
      </w:r>
      <w:r w:rsidRPr="00A7391D" w:rsidR="006B433C">
        <w:t xml:space="preserve"> Code</w:t>
      </w:r>
      <w:r w:rsidRPr="00A7391D" w:rsidR="00A8177B">
        <w:t xml:space="preserve"> §§ 3212.86, 3212.87, and 3212.88</w:t>
      </w:r>
      <w:r w:rsidRPr="00A7391D" w:rsidR="006B433C">
        <w:t xml:space="preserve"> </w:t>
      </w:r>
      <w:r w:rsidRPr="00A7391D" w:rsidR="00544D81">
        <w:t xml:space="preserve">and is set to expire </w:t>
      </w:r>
      <w:r w:rsidRPr="00A7391D" w:rsidR="006B433C">
        <w:t>o</w:t>
      </w:r>
      <w:r w:rsidRPr="00A7391D" w:rsidR="00544D81">
        <w:t xml:space="preserve">n January 1, 2023. </w:t>
      </w:r>
      <w:r w:rsidRPr="00A7391D" w:rsidR="004527E5">
        <w:t xml:space="preserve">The presumptions of </w:t>
      </w:r>
      <w:r w:rsidRPr="00A7391D">
        <w:t>SB 1159</w:t>
      </w:r>
      <w:r w:rsidRPr="00A7391D" w:rsidR="004527E5">
        <w:t xml:space="preserve"> apply</w:t>
      </w:r>
      <w:r w:rsidRPr="00A7391D">
        <w:t xml:space="preserve"> to employees </w:t>
      </w:r>
      <w:r w:rsidRPr="00A7391D" w:rsidR="004527E5">
        <w:t>in the following ways</w:t>
      </w:r>
      <w:r w:rsidRPr="00A7391D">
        <w:t>:</w:t>
      </w:r>
    </w:p>
    <w:p w:rsidR="00A02E5B" w:rsidRPr="00A7391D" w:rsidP="004527E5">
      <w:pPr>
        <w:pStyle w:val="ListBullet2"/>
        <w:spacing w:line="480" w:lineRule="auto"/>
      </w:pPr>
      <w:r w:rsidRPr="00A7391D">
        <w:t>All employees injured between May 19, 2020 and July 5, 2020</w:t>
      </w:r>
    </w:p>
    <w:p w:rsidR="004527E5" w:rsidRPr="00A7391D" w:rsidP="004527E5">
      <w:pPr>
        <w:pStyle w:val="ListBullet2"/>
        <w:spacing w:line="480" w:lineRule="auto"/>
      </w:pPr>
      <w:r w:rsidRPr="00A7391D">
        <w:t xml:space="preserve">Active firefighters, police, and healthcare workers </w:t>
      </w:r>
      <w:r w:rsidRPr="00A7391D" w:rsidR="00452D32">
        <w:t xml:space="preserve">injured </w:t>
      </w:r>
      <w:r w:rsidRPr="00A7391D">
        <w:t>after July 6, 2020</w:t>
      </w:r>
    </w:p>
    <w:p w:rsidR="004527E5" w:rsidRPr="00A7391D" w:rsidP="004527E5">
      <w:pPr>
        <w:pStyle w:val="ListBullet2"/>
        <w:spacing w:line="480" w:lineRule="auto"/>
      </w:pPr>
      <w:r w:rsidRPr="00A7391D">
        <w:t xml:space="preserve">All employees </w:t>
      </w:r>
      <w:r w:rsidRPr="00A7391D" w:rsidR="003C103B">
        <w:t xml:space="preserve">injured </w:t>
      </w:r>
      <w:r w:rsidRPr="00A7391D">
        <w:t>after July 6, 2020 who test positive during an “outbreak” and whose employer has five or more employees.</w:t>
      </w:r>
    </w:p>
    <w:p w:rsidR="00A54798" w:rsidRPr="00CC6AFA" w:rsidP="00A54798">
      <w:pPr>
        <w:pStyle w:val="20sp0"/>
        <w:spacing w:after="240"/>
      </w:pPr>
      <w:r w:rsidRPr="00A7391D">
        <w:t xml:space="preserve">Except under limited exceptions, </w:t>
      </w:r>
      <w:r w:rsidRPr="00A7391D" w:rsidR="00A02E5B">
        <w:t xml:space="preserve">California’s </w:t>
      </w:r>
      <w:r w:rsidRPr="00A7391D">
        <w:t xml:space="preserve">Labor Code </w:t>
      </w:r>
      <w:r w:rsidRPr="00A7391D" w:rsidR="00B409B1">
        <w:t>bar</w:t>
      </w:r>
      <w:r w:rsidRPr="00A7391D" w:rsidR="006B433C">
        <w:t>s</w:t>
      </w:r>
      <w:r w:rsidRPr="00A7391D" w:rsidR="00B409B1">
        <w:t xml:space="preserve"> </w:t>
      </w:r>
      <w:r w:rsidRPr="00A7391D" w:rsidR="00A02E5B">
        <w:t xml:space="preserve">an employee injured while working from filing a </w:t>
      </w:r>
      <w:r w:rsidRPr="00A7391D" w:rsidR="00B409B1">
        <w:t>law</w:t>
      </w:r>
      <w:r w:rsidRPr="00A7391D" w:rsidR="00A02E5B">
        <w:t>suit against their employer.</w:t>
      </w:r>
      <w:r>
        <w:rPr>
          <w:rStyle w:val="FootnoteReference"/>
        </w:rPr>
        <w:footnoteReference w:id="42"/>
      </w:r>
      <w:r w:rsidRPr="00A7391D" w:rsidR="00E17600">
        <w:t xml:space="preserve"> Thus, the</w:t>
      </w:r>
      <w:r w:rsidRPr="00A7391D">
        <w:t xml:space="preserve"> combination</w:t>
      </w:r>
      <w:r w:rsidRPr="00A7391D" w:rsidR="00E17600">
        <w:t xml:space="preserve"> of the presumption</w:t>
      </w:r>
      <w:r w:rsidRPr="00A7391D" w:rsidR="006B433C">
        <w:t>s</w:t>
      </w:r>
      <w:r w:rsidRPr="00A7391D" w:rsidR="00E17600">
        <w:t xml:space="preserve"> </w:t>
      </w:r>
      <w:r w:rsidRPr="00A7391D" w:rsidR="00337B54">
        <w:t xml:space="preserve">and </w:t>
      </w:r>
      <w:r w:rsidRPr="00A7391D" w:rsidR="006B433C">
        <w:t xml:space="preserve">the </w:t>
      </w:r>
      <w:r w:rsidRPr="00A7391D" w:rsidR="00337B54">
        <w:t xml:space="preserve">exclusive remedy under workers’ </w:t>
      </w:r>
      <w:r w:rsidRPr="00ED4774" w:rsidR="00337B54">
        <w:t xml:space="preserve">compensation </w:t>
      </w:r>
      <w:r w:rsidRPr="00ED4774" w:rsidR="00BF351B">
        <w:t>will undoubtedly</w:t>
      </w:r>
      <w:r w:rsidRPr="00ED4774" w:rsidR="00E17600">
        <w:t xml:space="preserve"> to an increase</w:t>
      </w:r>
      <w:r w:rsidRPr="00CC6AFA" w:rsidR="00E17600">
        <w:t xml:space="preserve"> </w:t>
      </w:r>
      <w:r w:rsidR="00BF351B">
        <w:t>in workers’ compensation claims.</w:t>
      </w:r>
      <w:r w:rsidR="00ED4774">
        <w:t xml:space="preserve"> </w:t>
      </w:r>
      <w:r w:rsidRPr="00ED4774" w:rsidR="00BF351B">
        <w:t>Accordingly, there</w:t>
      </w:r>
      <w:r w:rsidRPr="00ED4774">
        <w:t xml:space="preserve"> will likely be an increase in insurance premiums for workers’ compensation</w:t>
      </w:r>
      <w:r w:rsidRPr="00CC6AFA">
        <w:t xml:space="preserve"> insurance for these </w:t>
      </w:r>
      <w:r w:rsidRPr="00CC6AFA" w:rsidR="00B409B1">
        <w:t xml:space="preserve">employers and government </w:t>
      </w:r>
      <w:r w:rsidRPr="00CC6AFA">
        <w:t>entities moving forward.</w:t>
      </w:r>
      <w:r>
        <w:rPr>
          <w:rStyle w:val="FootnoteReference"/>
        </w:rPr>
        <w:footnoteReference w:id="43"/>
      </w:r>
    </w:p>
    <w:p w:rsidR="00452D32" w:rsidRPr="00E23CE0" w:rsidP="00E23CE0">
      <w:pPr>
        <w:pStyle w:val="Level4"/>
        <w:spacing w:line="480" w:lineRule="auto"/>
        <w:rPr>
          <w:b w:val="0"/>
        </w:rPr>
      </w:pPr>
      <w:r w:rsidRPr="00E23CE0">
        <w:t xml:space="preserve">Exceptions </w:t>
      </w:r>
      <w:r w:rsidR="006B433C">
        <w:t>T</w:t>
      </w:r>
      <w:r w:rsidRPr="00E23CE0">
        <w:t xml:space="preserve">o </w:t>
      </w:r>
      <w:r w:rsidR="006B433C">
        <w:t>T</w:t>
      </w:r>
      <w:r w:rsidRPr="00E23CE0">
        <w:t>he Exclusive Remedy Rule</w:t>
      </w:r>
    </w:p>
    <w:p w:rsidR="00452D32" w:rsidRPr="00E23CE0" w:rsidP="00E23CE0">
      <w:pPr>
        <w:pStyle w:val="20sp0"/>
        <w:rPr>
          <w:b/>
        </w:rPr>
      </w:pPr>
      <w:r w:rsidRPr="00A7391D">
        <w:t xml:space="preserve">Employers and government entities should be aware of the following exceptions to the exclusive remedy rule, which </w:t>
      </w:r>
      <w:r w:rsidRPr="00A7391D" w:rsidR="006B433C">
        <w:t xml:space="preserve">could be applicable to cases involving </w:t>
      </w:r>
      <w:r w:rsidRPr="00A7391D" w:rsidR="006B433C">
        <w:t>COVID</w:t>
      </w:r>
      <w:r w:rsidRPr="00A7391D" w:rsidR="006B433C">
        <w:t xml:space="preserve">-19 and, if applicable, </w:t>
      </w:r>
      <w:r w:rsidRPr="00A7391D">
        <w:t>would allow an employee to file a civil suit against their employer:</w:t>
      </w:r>
      <w:r w:rsidRPr="00A7391D" w:rsidR="006B433C">
        <w:t xml:space="preserve"> </w:t>
      </w:r>
    </w:p>
    <w:p w:rsidR="00452D32" w:rsidRPr="00E23CE0" w:rsidP="00ED4774">
      <w:pPr>
        <w:pStyle w:val="Level5"/>
      </w:pPr>
      <w:r w:rsidRPr="00E23CE0">
        <w:t>Statutory Exceptions</w:t>
      </w:r>
      <w:r>
        <w:rPr>
          <w:rStyle w:val="FootnoteReference"/>
          <w:b w:val="0"/>
        </w:rPr>
        <w:footnoteReference w:id="44"/>
      </w:r>
    </w:p>
    <w:p w:rsidR="00452D32" w:rsidRPr="00A7391D" w:rsidP="00E23CE0">
      <w:pPr>
        <w:pStyle w:val="ListBullet2"/>
        <w:spacing w:line="480" w:lineRule="auto"/>
      </w:pPr>
      <w:r w:rsidRPr="00A7391D">
        <w:rPr>
          <w:u w:val="single"/>
        </w:rPr>
        <w:t>Physical Assault</w:t>
      </w:r>
      <w:r w:rsidRPr="00A7391D">
        <w:t>:</w:t>
      </w:r>
      <w:r w:rsidRPr="00A7391D" w:rsidR="00504B29">
        <w:t xml:space="preserve"> an employee</w:t>
      </w:r>
      <w:r w:rsidRPr="00A7391D" w:rsidR="006B433C">
        <w:t>,</w:t>
      </w:r>
      <w:r w:rsidRPr="00A7391D" w:rsidR="00504B29">
        <w:t xml:space="preserve"> or the employee's dependents in the event of the employee's death, may sue the employer for damages when the employee's injury or death is proximately caused by a willful physical assault by the employer.</w:t>
      </w:r>
      <w:r>
        <w:rPr>
          <w:rStyle w:val="FootnoteReference"/>
        </w:rPr>
        <w:footnoteReference w:id="45"/>
      </w:r>
      <w:r w:rsidRPr="00A7391D" w:rsidR="00504B29">
        <w:t xml:space="preserve"> However, a prior California appellate decisi</w:t>
      </w:r>
      <w:r w:rsidRPr="00A7391D" w:rsidR="002A1C5C">
        <w:t>on has</w:t>
      </w:r>
      <w:r w:rsidRPr="00A7391D" w:rsidR="00504B29">
        <w:t xml:space="preserve"> previously held that concealment of known</w:t>
      </w:r>
      <w:r w:rsidRPr="00A7391D" w:rsidR="006B433C">
        <w:t>,</w:t>
      </w:r>
      <w:r w:rsidRPr="00A7391D" w:rsidR="00504B29">
        <w:t xml:space="preserve"> unsafe working conditions and failure to provide protective equipment does not constitute an “assault” under the</w:t>
      </w:r>
      <w:r w:rsidRPr="00A7391D" w:rsidR="006B433C">
        <w:t xml:space="preserve"> California</w:t>
      </w:r>
      <w:r w:rsidRPr="00A7391D" w:rsidR="00504B29">
        <w:t xml:space="preserve"> </w:t>
      </w:r>
      <w:r w:rsidRPr="00A7391D" w:rsidR="006B433C">
        <w:t>L</w:t>
      </w:r>
      <w:r w:rsidRPr="00A7391D" w:rsidR="00504B29">
        <w:t xml:space="preserve">abor </w:t>
      </w:r>
      <w:r w:rsidRPr="00A7391D" w:rsidR="006B433C">
        <w:t>C</w:t>
      </w:r>
      <w:r w:rsidRPr="00A7391D" w:rsidR="00504B29">
        <w:t>ode.</w:t>
      </w:r>
      <w:r>
        <w:rPr>
          <w:rStyle w:val="FootnoteReference"/>
        </w:rPr>
        <w:footnoteReference w:id="46"/>
      </w:r>
    </w:p>
    <w:p w:rsidR="00452D32" w:rsidRPr="00A7391D" w:rsidP="00E23CE0">
      <w:pPr>
        <w:pStyle w:val="ListBullet2"/>
        <w:spacing w:line="480" w:lineRule="auto"/>
      </w:pPr>
      <w:r w:rsidRPr="00A7391D">
        <w:rPr>
          <w:u w:val="single"/>
        </w:rPr>
        <w:t>Fraudulent concealment</w:t>
      </w:r>
      <w:r w:rsidRPr="00A7391D">
        <w:t xml:space="preserve">: </w:t>
      </w:r>
      <w:r w:rsidRPr="00A7391D" w:rsidR="000B14D6">
        <w:t>an employee may bring an action</w:t>
      </w:r>
      <w:r w:rsidRPr="00A7391D" w:rsidR="0030323C">
        <w:t xml:space="preserve"> for an injury or disease which is aggravated by the employer</w:t>
      </w:r>
      <w:r w:rsidRPr="00A7391D" w:rsidR="006B433C">
        <w:t>’</w:t>
      </w:r>
      <w:r w:rsidRPr="00A7391D" w:rsidR="0030323C">
        <w:t>s fraudulent concealment of the injury or disease</w:t>
      </w:r>
      <w:r w:rsidRPr="00A7391D" w:rsidR="000B14D6">
        <w:t xml:space="preserve"> and its connection with the employment.</w:t>
      </w:r>
      <w:r>
        <w:rPr>
          <w:rStyle w:val="FootnoteReference"/>
        </w:rPr>
        <w:footnoteReference w:id="47"/>
      </w:r>
      <w:r w:rsidRPr="00A7391D" w:rsidR="000B14D6">
        <w:t xml:space="preserve"> </w:t>
      </w:r>
      <w:r w:rsidRPr="00A7391D" w:rsidR="0030323C">
        <w:t>Employers are not liable for an initial injury or infection</w:t>
      </w:r>
      <w:r w:rsidRPr="00A7391D" w:rsidR="000B14D6">
        <w:t xml:space="preserve"> </w:t>
      </w:r>
      <w:r w:rsidRPr="00A7391D" w:rsidR="007562AB">
        <w:t>but rather aggravation of an injury. However, as many employees have underlying conditions or comorbidities, this exception may be more prevalent moving forward.</w:t>
      </w:r>
    </w:p>
    <w:p w:rsidR="00726568" w:rsidRPr="00ED4774" w:rsidP="002456F3">
      <w:pPr>
        <w:pStyle w:val="ListBullet2"/>
        <w:spacing w:line="480" w:lineRule="auto"/>
      </w:pPr>
      <w:r w:rsidRPr="00A7391D">
        <w:rPr>
          <w:u w:val="single"/>
        </w:rPr>
        <w:t>Fair Employment and Housing Act</w:t>
      </w:r>
      <w:r w:rsidRPr="00A7391D">
        <w:t>:</w:t>
      </w:r>
      <w:r w:rsidRPr="00A7391D" w:rsidR="002A1C5C">
        <w:t xml:space="preserve"> </w:t>
      </w:r>
      <w:r w:rsidRPr="00A7391D">
        <w:t>FEHA</w:t>
      </w:r>
      <w:r w:rsidRPr="00A7391D">
        <w:t xml:space="preserve"> prohibits an employer from</w:t>
      </w:r>
      <w:r w:rsidRPr="00A7391D" w:rsidR="006B433C">
        <w:t>,</w:t>
      </w:r>
      <w:r w:rsidRPr="00A7391D">
        <w:t xml:space="preserve"> among other things, discriminating against a person in compensation or in terms, conditions or </w:t>
      </w:r>
      <w:r w:rsidRPr="00A7391D">
        <w:t>privileges of employment because of race.</w:t>
      </w:r>
      <w:r>
        <w:rPr>
          <w:rStyle w:val="FootnoteReference"/>
        </w:rPr>
        <w:footnoteReference w:id="48"/>
      </w:r>
      <w:r w:rsidRPr="00A7391D" w:rsidR="00E23CE0">
        <w:t xml:space="preserve"> T</w:t>
      </w:r>
      <w:r w:rsidRPr="00A7391D">
        <w:t>here has already been one lawsuit filed against Amazon alleging that it discriminated against employees based on race by, among other things, failing to provide adequate PPE to African-American employees as compared to Caucasian employees.</w:t>
      </w:r>
      <w:r>
        <w:rPr>
          <w:rStyle w:val="FootnoteReference"/>
        </w:rPr>
        <w:footnoteReference w:id="49"/>
      </w:r>
      <w:r w:rsidRPr="00A7391D" w:rsidR="006B433C">
        <w:t xml:space="preserve"> </w:t>
      </w:r>
      <w:r w:rsidRPr="00A7391D" w:rsidR="00423096">
        <w:t>The CDC reports that African-Americans make up 12.5% of coronavirus cases and 16.4% of deaths.</w:t>
      </w:r>
      <w:r>
        <w:rPr>
          <w:rStyle w:val="FootnoteReference"/>
        </w:rPr>
        <w:footnoteReference w:id="50"/>
      </w:r>
      <w:r w:rsidRPr="00ED4774" w:rsidR="000B163C">
        <w:t xml:space="preserve"> According to the Mayo Clinic, the hospitalization rate among non-Hispanic Black people were “about 4.7 times the rate of non-Hispanic white people.”</w:t>
      </w:r>
      <w:r>
        <w:rPr>
          <w:rStyle w:val="FootnoteReference"/>
        </w:rPr>
        <w:footnoteReference w:id="51"/>
      </w:r>
    </w:p>
    <w:p w:rsidR="00452D32" w:rsidRPr="00A7391D" w:rsidP="00E23CE0">
      <w:pPr>
        <w:pStyle w:val="ListBullet2"/>
        <w:spacing w:line="480" w:lineRule="auto"/>
      </w:pPr>
      <w:r w:rsidRPr="00A7391D">
        <w:t xml:space="preserve"> </w:t>
      </w:r>
      <w:r w:rsidRPr="00A7391D">
        <w:rPr>
          <w:u w:val="single"/>
        </w:rPr>
        <w:t>Whistleblower</w:t>
      </w:r>
      <w:r w:rsidRPr="00A7391D">
        <w:t>:</w:t>
      </w:r>
      <w:r w:rsidRPr="00A7391D" w:rsidR="00160F08">
        <w:t xml:space="preserve"> employees in California may not be retaliated against for </w:t>
      </w:r>
      <w:r w:rsidRPr="00A7391D" w:rsidR="00323FFF">
        <w:t>disclosing</w:t>
      </w:r>
      <w:r w:rsidRPr="00A7391D" w:rsidR="0048783A">
        <w:t xml:space="preserve"> suspected violations of state or federal law to a government agency, law enforcement, or </w:t>
      </w:r>
      <w:r w:rsidRPr="00A7391D" w:rsidR="006B433C">
        <w:t xml:space="preserve">a </w:t>
      </w:r>
      <w:r w:rsidRPr="00A7391D" w:rsidR="0048783A">
        <w:t xml:space="preserve">regulatory agency. According </w:t>
      </w:r>
      <w:r w:rsidRPr="00A7391D" w:rsidR="00E23CE0">
        <w:t xml:space="preserve">to the </w:t>
      </w:r>
      <w:r w:rsidRPr="00A7391D" w:rsidR="0048783A">
        <w:t>Fisher Phillips</w:t>
      </w:r>
      <w:r w:rsidRPr="00A7391D" w:rsidR="00E23CE0">
        <w:t xml:space="preserve"> tracker</w:t>
      </w:r>
      <w:r w:rsidRPr="00A7391D" w:rsidR="0048783A">
        <w:t>, there were 4,1</w:t>
      </w:r>
      <w:r w:rsidRPr="00A7391D" w:rsidR="00323FFF">
        <w:t>0</w:t>
      </w:r>
      <w:r w:rsidRPr="00A7391D" w:rsidR="0048783A">
        <w:t>0 Federal OSHA claims filed in 2020.</w:t>
      </w:r>
      <w:r>
        <w:rPr>
          <w:rStyle w:val="FootnoteReference"/>
        </w:rPr>
        <w:footnoteReference w:id="52"/>
      </w:r>
      <w:r w:rsidRPr="00A7391D" w:rsidR="0048783A">
        <w:t xml:space="preserve"> In addition, the report noted that 39% of whistleblower complaints filed from February 2020 through May 2020 (approximately 1,600) were directly related to </w:t>
      </w:r>
      <w:r w:rsidRPr="00A7391D" w:rsidR="0048783A">
        <w:t>COVID</w:t>
      </w:r>
      <w:r w:rsidRPr="00A7391D" w:rsidR="0048783A">
        <w:t>-19.</w:t>
      </w:r>
    </w:p>
    <w:p w:rsidR="00452D32" w:rsidRPr="00A7391D" w:rsidP="00E23CE0">
      <w:pPr>
        <w:pStyle w:val="ListBullet2"/>
        <w:spacing w:line="480" w:lineRule="auto"/>
      </w:pPr>
      <w:r w:rsidRPr="00A7391D">
        <w:rPr>
          <w:u w:val="single"/>
        </w:rPr>
        <w:t>Dual Capacity</w:t>
      </w:r>
      <w:r w:rsidRPr="00A7391D">
        <w:t>:</w:t>
      </w:r>
      <w:r w:rsidRPr="00A7391D" w:rsidR="00323FFF">
        <w:t xml:space="preserve"> an employee may sue their employer where the employer manufactures a product which is “sold, leased, or otherwise transferred” to a third</w:t>
      </w:r>
      <w:r w:rsidRPr="00A7391D" w:rsidR="006B433C">
        <w:t xml:space="preserve"> </w:t>
      </w:r>
      <w:r w:rsidRPr="00A7391D" w:rsidR="00323FFF">
        <w:t>party and the product is subsequently provided to the employee.</w:t>
      </w:r>
      <w:r>
        <w:rPr>
          <w:rStyle w:val="FootnoteReference"/>
        </w:rPr>
        <w:footnoteReference w:id="53"/>
      </w:r>
      <w:r w:rsidRPr="00A7391D" w:rsidR="00323FFF">
        <w:t xml:space="preserve"> Because this exception requires employers to manufacture a product, it will </w:t>
      </w:r>
      <w:r w:rsidRPr="00A7391D" w:rsidR="00E23CE0">
        <w:t xml:space="preserve">likely </w:t>
      </w:r>
      <w:r w:rsidRPr="00A7391D" w:rsidR="00323FFF">
        <w:t xml:space="preserve">have very </w:t>
      </w:r>
      <w:r w:rsidRPr="00A7391D" w:rsidR="00323FFF">
        <w:t xml:space="preserve">limited application. However, </w:t>
      </w:r>
      <w:r w:rsidRPr="00A7391D" w:rsidR="002A1C5C">
        <w:t xml:space="preserve">entities which manufacture </w:t>
      </w:r>
      <w:r w:rsidRPr="00A7391D" w:rsidR="006B433C">
        <w:t xml:space="preserve">personal </w:t>
      </w:r>
      <w:r w:rsidRPr="00A7391D" w:rsidR="002A1C5C">
        <w:t>protective equipment (“PPE”) should be aware of this potential exposure.</w:t>
      </w:r>
    </w:p>
    <w:p w:rsidR="00452D32" w:rsidRPr="00A7391D" w:rsidP="00E23CE0">
      <w:pPr>
        <w:pStyle w:val="ListBullet2"/>
        <w:spacing w:line="480" w:lineRule="auto"/>
      </w:pPr>
      <w:r w:rsidRPr="00A7391D">
        <w:rPr>
          <w:u w:val="single"/>
        </w:rPr>
        <w:t>Uninsured Employers</w:t>
      </w:r>
      <w:r w:rsidRPr="00A7391D">
        <w:t>:</w:t>
      </w:r>
      <w:r w:rsidRPr="00A7391D" w:rsidR="00B709B6">
        <w:t xml:space="preserve"> an employee or their dependents may sue an employer who fails to procure workers’ compensation insurance.</w:t>
      </w:r>
      <w:r>
        <w:rPr>
          <w:rStyle w:val="FootnoteReference"/>
        </w:rPr>
        <w:footnoteReference w:id="54"/>
      </w:r>
    </w:p>
    <w:p w:rsidR="00411E2D" w:rsidP="00A7391D">
      <w:pPr>
        <w:pStyle w:val="Level5"/>
      </w:pPr>
      <w:r>
        <w:t>Trends Related to Employment Law Cases</w:t>
      </w:r>
    </w:p>
    <w:p w:rsidR="00411E2D" w:rsidRPr="00ED4774" w:rsidP="00411E2D">
      <w:pPr>
        <w:pStyle w:val="20sp0"/>
      </w:pPr>
      <w:r w:rsidRPr="00ED4774">
        <w:t>Although many employment claims are still in the early stages</w:t>
      </w:r>
      <w:r w:rsidRPr="00ED4774" w:rsidR="008065A5">
        <w:t xml:space="preserve"> of litigation</w:t>
      </w:r>
      <w:r w:rsidRPr="00ED4774">
        <w:t>, below are some of the trends that have appeared in 2020</w:t>
      </w:r>
      <w:r>
        <w:rPr>
          <w:rStyle w:val="FootnoteReference"/>
        </w:rPr>
        <w:footnoteReference w:id="55"/>
      </w:r>
      <w:r w:rsidRPr="00ED4774">
        <w:t xml:space="preserve">:  </w:t>
      </w:r>
    </w:p>
    <w:p w:rsidR="00FD249C" w:rsidRPr="00ED4774" w:rsidP="00304F9D">
      <w:pPr>
        <w:pStyle w:val="ListBullet2"/>
        <w:spacing w:line="480" w:lineRule="auto"/>
      </w:pPr>
      <w:r w:rsidRPr="00ED4774">
        <w:rPr>
          <w:u w:val="single"/>
        </w:rPr>
        <w:t>Safe Work Environment</w:t>
      </w:r>
      <w:r w:rsidRPr="00ED4774">
        <w:t xml:space="preserve">: In </w:t>
      </w:r>
      <w:r w:rsidRPr="00ED4774">
        <w:rPr>
          <w:i/>
        </w:rPr>
        <w:t xml:space="preserve">Brooks v. </w:t>
      </w:r>
      <w:r w:rsidRPr="00ED4774">
        <w:rPr>
          <w:i/>
        </w:rPr>
        <w:t>Corecivic</w:t>
      </w:r>
      <w:r w:rsidRPr="00ED4774">
        <w:rPr>
          <w:i/>
        </w:rPr>
        <w:t xml:space="preserve"> of Tennessee LLC</w:t>
      </w:r>
      <w:r>
        <w:rPr>
          <w:rStyle w:val="FootnoteReference"/>
          <w:i/>
        </w:rPr>
        <w:footnoteReference w:id="56"/>
      </w:r>
      <w:r w:rsidRPr="00ED4774">
        <w:t xml:space="preserve">, an employee alleged that her employers failure to maintain a safe working environment constituted a constructive discharge of her employment. </w:t>
      </w:r>
    </w:p>
    <w:p w:rsidR="007D7960" w:rsidRPr="00ED4774" w:rsidP="00304F9D">
      <w:pPr>
        <w:pStyle w:val="ListBullet2"/>
        <w:spacing w:line="480" w:lineRule="auto"/>
      </w:pPr>
      <w:r w:rsidRPr="00ED4774">
        <w:rPr>
          <w:u w:val="single"/>
        </w:rPr>
        <w:t>Leave and Retaliation</w:t>
      </w:r>
      <w:r w:rsidRPr="00ED4774">
        <w:rPr>
          <w:u w:val="single"/>
        </w:rPr>
        <w:t>:</w:t>
      </w:r>
      <w:r w:rsidRPr="00ED4774">
        <w:rPr>
          <w:u w:val="single"/>
        </w:rPr>
        <w:t xml:space="preserve"> </w:t>
      </w:r>
      <w:r w:rsidRPr="00ED4774">
        <w:t xml:space="preserve">In </w:t>
      </w:r>
      <w:r w:rsidRPr="00ED4774">
        <w:rPr>
          <w:i/>
        </w:rPr>
        <w:t>Kofler</w:t>
      </w:r>
      <w:r w:rsidRPr="00ED4774">
        <w:rPr>
          <w:i/>
        </w:rPr>
        <w:t xml:space="preserve"> v. </w:t>
      </w:r>
      <w:r w:rsidRPr="00ED4774">
        <w:rPr>
          <w:i/>
        </w:rPr>
        <w:t>Sayde</w:t>
      </w:r>
      <w:r w:rsidRPr="00ED4774">
        <w:rPr>
          <w:i/>
        </w:rPr>
        <w:t xml:space="preserve"> </w:t>
      </w:r>
      <w:r w:rsidRPr="00ED4774">
        <w:rPr>
          <w:i/>
        </w:rPr>
        <w:t>Steeves</w:t>
      </w:r>
      <w:r w:rsidRPr="00ED4774">
        <w:rPr>
          <w:i/>
        </w:rPr>
        <w:t xml:space="preserve"> Cleaning Service, Inc.</w:t>
      </w:r>
      <w:r w:rsidRPr="00ED4774">
        <w:t>,</w:t>
      </w:r>
      <w:r>
        <w:rPr>
          <w:rStyle w:val="FootnoteReference"/>
        </w:rPr>
        <w:footnoteReference w:id="57"/>
      </w:r>
      <w:r w:rsidRPr="00ED4774">
        <w:t xml:space="preserve"> </w:t>
      </w:r>
      <w:r w:rsidRPr="00ED4774" w:rsidR="005C5FF8">
        <w:t>an employee who requested time off under the newly-enacted Families First Coronavirus Relief Act (“</w:t>
      </w:r>
      <w:r w:rsidRPr="00ED4774" w:rsidR="005C5FF8">
        <w:t>FFCRA</w:t>
      </w:r>
      <w:r w:rsidRPr="00ED4774" w:rsidR="005C5FF8">
        <w:t>”) and was subsequently terminated could</w:t>
      </w:r>
      <w:r w:rsidRPr="00304F9D" w:rsidR="005C5FF8">
        <w:rPr>
          <w:b/>
        </w:rPr>
        <w:t xml:space="preserve"> </w:t>
      </w:r>
      <w:r w:rsidRPr="00ED4774" w:rsidR="005C5FF8">
        <w:t>maintain an action under the enforcement provision of the Fair Labor Standards Act (“</w:t>
      </w:r>
      <w:r w:rsidRPr="00ED4774" w:rsidR="005C5FF8">
        <w:t>FLSA</w:t>
      </w:r>
      <w:r w:rsidRPr="00ED4774" w:rsidR="005C5FF8">
        <w:t xml:space="preserve">”) incorporated into the </w:t>
      </w:r>
      <w:r w:rsidRPr="00ED4774" w:rsidR="005C5FF8">
        <w:t>FFCRA</w:t>
      </w:r>
      <w:r w:rsidRPr="00ED4774" w:rsidR="005C5FF8">
        <w:t>.</w:t>
      </w:r>
      <w:r>
        <w:rPr>
          <w:rStyle w:val="FootnoteReference"/>
        </w:rPr>
        <w:footnoteReference w:id="58"/>
      </w:r>
    </w:p>
    <w:p w:rsidR="00426DFE" w:rsidRPr="00ED4774" w:rsidP="00426DFE">
      <w:pPr>
        <w:pStyle w:val="ListBullet2"/>
        <w:spacing w:line="480" w:lineRule="auto"/>
      </w:pPr>
      <w:r w:rsidRPr="00ED4774">
        <w:rPr>
          <w:u w:val="single"/>
        </w:rPr>
        <w:t>Discrimination and Reasonable Accommodations</w:t>
      </w:r>
      <w:r w:rsidRPr="00ED4774" w:rsidR="007D7960">
        <w:rPr>
          <w:u w:val="single"/>
        </w:rPr>
        <w:t>:</w:t>
      </w:r>
      <w:r w:rsidRPr="00ED4774">
        <w:t xml:space="preserve"> In </w:t>
      </w:r>
      <w:r w:rsidRPr="00ED4774">
        <w:rPr>
          <w:i/>
        </w:rPr>
        <w:t>Bess v. District of Columbia</w:t>
      </w:r>
      <w:r w:rsidRPr="00ED4774">
        <w:t>,</w:t>
      </w:r>
      <w:r>
        <w:rPr>
          <w:rStyle w:val="FootnoteReference"/>
        </w:rPr>
        <w:footnoteReference w:id="59"/>
      </w:r>
      <w:r w:rsidRPr="00ED4774">
        <w:t xml:space="preserve"> </w:t>
      </w:r>
      <w:r w:rsidRPr="00ED4774" w:rsidR="009D3997">
        <w:t xml:space="preserve">an employee with the District of Columbia Department of Corrections alleged that </w:t>
      </w:r>
      <w:r w:rsidRPr="00ED4774" w:rsidR="009D3997">
        <w:t>her diabetes put her at higher risk for coronavirus but the department assigned her to a medical unit housing inmates suspected to have the disease</w:t>
      </w:r>
      <w:r w:rsidRPr="00ED4774">
        <w:t xml:space="preserve">. Further, in </w:t>
      </w:r>
      <w:r w:rsidRPr="00ED4774">
        <w:rPr>
          <w:i/>
          <w:iCs/>
        </w:rPr>
        <w:t>Peeples</w:t>
      </w:r>
      <w:r w:rsidRPr="00ED4774">
        <w:rPr>
          <w:i/>
          <w:iCs/>
        </w:rPr>
        <w:t xml:space="preserve"> v. Clinical Support Options, Inc.</w:t>
      </w:r>
      <w:r w:rsidRPr="00ED4774">
        <w:t>,</w:t>
      </w:r>
      <w:r>
        <w:rPr>
          <w:rStyle w:val="FootnoteReference"/>
        </w:rPr>
        <w:footnoteReference w:id="60"/>
      </w:r>
      <w:r w:rsidRPr="00ED4774">
        <w:t xml:space="preserve"> the court granted a plaintiff preliminary injunction request to work from home for 60 days. The plaintiff suffered from mild asthma and </w:t>
      </w:r>
      <w:r w:rsidRPr="00ED4774" w:rsidR="008065A5">
        <w:t>had previously worked from home but had subsequently b</w:t>
      </w:r>
      <w:r w:rsidRPr="00ED4774">
        <w:t xml:space="preserve">een required to return to work, although their employer did provide </w:t>
      </w:r>
      <w:r w:rsidRPr="00ED4774">
        <w:t>KN95</w:t>
      </w:r>
      <w:r w:rsidRPr="00ED4774">
        <w:t xml:space="preserve"> masks and other PPE. </w:t>
      </w:r>
    </w:p>
    <w:p w:rsidR="00CB6CA8" w:rsidRPr="00ED4774" w:rsidP="00304F9D">
      <w:pPr>
        <w:pStyle w:val="ListBullet2"/>
        <w:spacing w:line="480" w:lineRule="auto"/>
      </w:pPr>
      <w:r w:rsidRPr="00ED4774">
        <w:rPr>
          <w:u w:val="single"/>
        </w:rPr>
        <w:t>Wage and Hour Claims</w:t>
      </w:r>
      <w:r w:rsidRPr="00ED4774">
        <w:t xml:space="preserve">: In </w:t>
      </w:r>
      <w:r w:rsidRPr="00ED4774">
        <w:rPr>
          <w:i/>
        </w:rPr>
        <w:t>Emery v. Home Caregivers of Cookeville, LLC</w:t>
      </w:r>
      <w:r w:rsidRPr="00ED4774">
        <w:t>,</w:t>
      </w:r>
      <w:r>
        <w:rPr>
          <w:rStyle w:val="FootnoteReference"/>
        </w:rPr>
        <w:footnoteReference w:id="61"/>
      </w:r>
      <w:r w:rsidRPr="00ED4774">
        <w:t xml:space="preserve"> </w:t>
      </w:r>
      <w:r w:rsidRPr="00ED4774" w:rsidR="00304F9D">
        <w:t xml:space="preserve">the court employees notice of certification for failure to pay overtime pay for “24/7” work during the </w:t>
      </w:r>
      <w:r w:rsidRPr="00ED4774" w:rsidR="00304F9D">
        <w:t>COVID</w:t>
      </w:r>
      <w:r w:rsidRPr="00ED4774" w:rsidR="00304F9D">
        <w:t>-19 pandemic holding, “[n]</w:t>
      </w:r>
      <w:r w:rsidRPr="00ED4774" w:rsidR="00304F9D">
        <w:t>othing</w:t>
      </w:r>
      <w:r w:rsidRPr="00ED4774" w:rsidR="00304F9D">
        <w:t xml:space="preserve"> in the plain text of the </w:t>
      </w:r>
      <w:r w:rsidRPr="00ED4774" w:rsidR="00304F9D">
        <w:t>FLSA</w:t>
      </w:r>
      <w:r w:rsidRPr="00ED4774" w:rsidR="00304F9D">
        <w:t xml:space="preserve"> suggests that a </w:t>
      </w:r>
      <w:r w:rsidRPr="00ED4774" w:rsidR="00304F9D">
        <w:t>DOL</w:t>
      </w:r>
      <w:r w:rsidRPr="00ED4774" w:rsidR="00304F9D">
        <w:t>-supervised settlement proceeding and a district court collective action cannot proceed at the same time.”</w:t>
      </w:r>
    </w:p>
    <w:p w:rsidR="00544D81" w:rsidRPr="00A54798" w:rsidP="00A54798">
      <w:pPr>
        <w:pStyle w:val="Level4"/>
        <w:rPr>
          <w:b w:val="0"/>
        </w:rPr>
      </w:pPr>
      <w:r w:rsidRPr="00A54798">
        <w:t xml:space="preserve">Decreases </w:t>
      </w:r>
      <w:r w:rsidR="006B433C">
        <w:t>I</w:t>
      </w:r>
      <w:r w:rsidRPr="00A54798">
        <w:t xml:space="preserve">n Premium Incomes </w:t>
      </w:r>
      <w:r w:rsidR="006B433C">
        <w:t>F</w:t>
      </w:r>
      <w:r w:rsidRPr="00A54798">
        <w:t xml:space="preserve">or Policies Calculated Based </w:t>
      </w:r>
      <w:r w:rsidR="006B433C">
        <w:t>O</w:t>
      </w:r>
      <w:r w:rsidRPr="00A54798">
        <w:t>n Payroll</w:t>
      </w:r>
    </w:p>
    <w:p w:rsidR="00544D81" w:rsidRPr="00A54798" w:rsidP="00544D81">
      <w:pPr>
        <w:pStyle w:val="20sp0"/>
        <w:spacing w:after="240"/>
        <w:rPr>
          <w:b/>
        </w:rPr>
      </w:pPr>
      <w:r w:rsidRPr="004E0A0F">
        <w:t>Workers’ Compensation insurers, including California insurers, which use payroll as a factor in calculating premium rates</w:t>
      </w:r>
      <w:r w:rsidR="004E0A0F">
        <w:t>,</w:t>
      </w:r>
      <w:r w:rsidRPr="004E0A0F">
        <w:t xml:space="preserve"> may expect to see a drop in premiums moving forward. According to the U.S. Bureau of Labor Statistics, the unemployment rate between November 2018 to February 2020 had remained around 4%.</w:t>
      </w:r>
      <w:r>
        <w:rPr>
          <w:rStyle w:val="FootnoteReference"/>
        </w:rPr>
        <w:footnoteReference w:id="62"/>
      </w:r>
      <w:r w:rsidRPr="004E0A0F">
        <w:t xml:space="preserve"> After February 2020, the unemployment rate spiked at over 14%. As of </w:t>
      </w:r>
      <w:r w:rsidRPr="004E0A0F" w:rsidR="002456F3">
        <w:t>December 2020, the</w:t>
      </w:r>
      <w:r w:rsidRPr="004E0A0F" w:rsidR="0057502E">
        <w:t xml:space="preserve"> total nonfarm</w:t>
      </w:r>
      <w:r w:rsidRPr="004E0A0F" w:rsidR="002456F3">
        <w:t xml:space="preserve"> unemployment rate is 6.7%</w:t>
      </w:r>
      <w:r w:rsidR="004E0A0F">
        <w:t>.</w:t>
      </w:r>
      <w:r w:rsidRPr="00A54798">
        <w:rPr>
          <w:b/>
        </w:rPr>
        <w:t xml:space="preserve"> </w:t>
      </w:r>
    </w:p>
    <w:p w:rsidR="00544D81" w:rsidRPr="00544D81" w:rsidP="00544D81">
      <w:pPr>
        <w:pStyle w:val="Level4"/>
        <w:spacing w:line="480" w:lineRule="auto"/>
        <w:rPr>
          <w:b w:val="0"/>
        </w:rPr>
      </w:pPr>
      <w:r w:rsidRPr="00544D81">
        <w:t>Adjusting to the Work-From-Home Model</w:t>
      </w:r>
    </w:p>
    <w:p w:rsidR="00544D81" w:rsidRPr="004E0A0F" w:rsidP="00544D81">
      <w:pPr>
        <w:pStyle w:val="20sp0"/>
        <w:spacing w:after="240"/>
      </w:pPr>
      <w:r w:rsidRPr="004E0A0F">
        <w:t>According the Keith Goddard, the Director of the Directorate of Evaluation and Analysis of the U.S. Department of Occupation Safety and Health, “</w:t>
      </w:r>
      <w:r w:rsidRPr="004E0A0F" w:rsidR="006B433C">
        <w:t>[i]</w:t>
      </w:r>
      <w:r w:rsidRPr="004E0A0F">
        <w:t>njuries</w:t>
      </w:r>
      <w:r w:rsidRPr="004E0A0F">
        <w:t xml:space="preserve"> and illness that occur while an employee is working at home, including work in a home office, will be considered work-related if the injury or illness occurs while the employee is performing work for pay or compensation in the home and the injury or illness is directly related to the performance of work….”</w:t>
      </w:r>
      <w:r>
        <w:rPr>
          <w:rStyle w:val="FootnoteReference"/>
        </w:rPr>
        <w:footnoteReference w:id="63"/>
      </w:r>
      <w:r w:rsidRPr="004E0A0F">
        <w:t xml:space="preserve"> Mr. Goddard provided the following examples of what is and is not work related: </w:t>
      </w:r>
    </w:p>
    <w:p w:rsidR="00544D81" w:rsidRPr="004E0A0F" w:rsidP="00544D81">
      <w:pPr>
        <w:pStyle w:val="20spLeft-Right1"/>
        <w:spacing w:after="240"/>
      </w:pPr>
      <w:r w:rsidRPr="004E0A0F">
        <w:t>For example, if an employee drops a box of work documents and injures his or her foot, the case is considered work-related. If an employee's fingernail is punctured by a needle from a sewing machine used to perform garment work at home, becomes infected and requires medical treatment, the injury is considered work-related. If an employee is injured because he or she trips on the family dog while rushing to answer a work phone call, the case is not considered work-related. If an employee working at home is electrocuted because of faulty home wiring, the injury is not considered work-related.</w:t>
      </w:r>
      <w:r>
        <w:rPr>
          <w:rStyle w:val="FootnoteReference"/>
        </w:rPr>
        <w:footnoteReference w:id="64"/>
      </w:r>
    </w:p>
    <w:p w:rsidR="00544D81" w:rsidRPr="004E0A0F" w:rsidP="00544D81">
      <w:pPr>
        <w:pStyle w:val="20sp0"/>
        <w:spacing w:after="240"/>
      </w:pPr>
      <w:r w:rsidRPr="004E0A0F">
        <w:t xml:space="preserve">Insurers should be aware of the unique issues which may present </w:t>
      </w:r>
      <w:r w:rsidRPr="004E0A0F" w:rsidR="006B433C">
        <w:t xml:space="preserve">themselves </w:t>
      </w:r>
      <w:r w:rsidRPr="004E0A0F">
        <w:t>in the future based on this change in the workplace environment. For example, home offices likely do not comply with ergonomic practices. The goal of ergonomic practices is to reduces the risk of musc</w:t>
      </w:r>
      <w:r w:rsidRPr="004E0A0F" w:rsidR="006B433C">
        <w:t>ul</w:t>
      </w:r>
      <w:r w:rsidRPr="004E0A0F">
        <w:t xml:space="preserve">oskeletal </w:t>
      </w:r>
      <w:r w:rsidRPr="004E0A0F">
        <w:t>disorders.</w:t>
      </w:r>
      <w:r>
        <w:rPr>
          <w:rStyle w:val="FootnoteReference"/>
        </w:rPr>
        <w:footnoteReference w:id="65"/>
      </w:r>
      <w:r w:rsidRPr="004E0A0F">
        <w:t xml:space="preserve"> On April 27, 2019, the Mayo Clinic put out a report with suggestions for employers to increase </w:t>
      </w:r>
      <w:r w:rsidRPr="004E0A0F" w:rsidR="006B433C">
        <w:t xml:space="preserve">the </w:t>
      </w:r>
      <w:r w:rsidRPr="004E0A0F">
        <w:t xml:space="preserve">ergonomics of an office, including providing an appropriate chair, placing often-used objects within reach, selecting an appropriate keyboard and </w:t>
      </w:r>
      <w:r w:rsidRPr="004E0A0F" w:rsidR="006B433C">
        <w:t>m</w:t>
      </w:r>
      <w:r w:rsidRPr="004E0A0F">
        <w:t xml:space="preserve">ouse, and having proper clearance under </w:t>
      </w:r>
      <w:r w:rsidRPr="004E0A0F" w:rsidR="006B433C">
        <w:t xml:space="preserve">a </w:t>
      </w:r>
      <w:r w:rsidRPr="004E0A0F">
        <w:t xml:space="preserve">desk for </w:t>
      </w:r>
      <w:r w:rsidRPr="004E0A0F" w:rsidR="006B433C">
        <w:t xml:space="preserve">one’s </w:t>
      </w:r>
      <w:r w:rsidRPr="004E0A0F">
        <w:t>legs.</w:t>
      </w:r>
      <w:r>
        <w:rPr>
          <w:rStyle w:val="FootnoteReference"/>
        </w:rPr>
        <w:footnoteReference w:id="66"/>
      </w:r>
      <w:r w:rsidRPr="004E0A0F">
        <w:t xml:space="preserve"> Common workplace injuries which could be prevent</w:t>
      </w:r>
      <w:r w:rsidRPr="004E0A0F" w:rsidR="006B433C">
        <w:t>ed</w:t>
      </w:r>
      <w:r w:rsidRPr="004E0A0F">
        <w:t xml:space="preserve"> by ergonomic solutions include carpal tunnel syndrome, tendinitis, and epicondylitis (an injury affecting the elbow). Though these injuries may seem insignificant, according to a Bureau of Labor Statistic</w:t>
      </w:r>
      <w:r w:rsidRPr="004E0A0F" w:rsidR="006B433C">
        <w:t>s study</w:t>
      </w:r>
      <w:r w:rsidRPr="004E0A0F">
        <w:t xml:space="preserve"> in 2019, the average days away from work in the private industry for all musc</w:t>
      </w:r>
      <w:r w:rsidRPr="004E0A0F" w:rsidR="006B433C">
        <w:t>ul</w:t>
      </w:r>
      <w:r w:rsidRPr="004E0A0F">
        <w:t>oskeletal disorders was 13.</w:t>
      </w:r>
      <w:r>
        <w:rPr>
          <w:rStyle w:val="FootnoteReference"/>
        </w:rPr>
        <w:footnoteReference w:id="67"/>
      </w:r>
      <w:r w:rsidRPr="004E0A0F">
        <w:t xml:space="preserve"> In addition, there are likely no witnesses to work-from-home injur</w:t>
      </w:r>
      <w:r w:rsidRPr="004E0A0F" w:rsidR="006B433C">
        <w:t>ies</w:t>
      </w:r>
      <w:r w:rsidRPr="004E0A0F">
        <w:t xml:space="preserve">, making corroboration or claims management arduous as compared to similar injuries occurring in an office setting. </w:t>
      </w:r>
    </w:p>
    <w:p w:rsidR="00544D81" w:rsidRPr="00544D81" w:rsidP="00544D81">
      <w:pPr>
        <w:pStyle w:val="Level4"/>
        <w:spacing w:line="480" w:lineRule="auto"/>
        <w:rPr>
          <w:b w:val="0"/>
        </w:rPr>
      </w:pPr>
      <w:r w:rsidRPr="00544D81">
        <w:t xml:space="preserve">Coverage </w:t>
      </w:r>
      <w:r w:rsidR="006B433C">
        <w:t>F</w:t>
      </w:r>
      <w:r w:rsidRPr="00544D81">
        <w:t xml:space="preserve">or </w:t>
      </w:r>
      <w:r w:rsidR="006B433C">
        <w:t>T</w:t>
      </w:r>
      <w:r w:rsidRPr="00544D81">
        <w:t xml:space="preserve">he </w:t>
      </w:r>
      <w:r w:rsidR="006B433C">
        <w:t>COVID</w:t>
      </w:r>
      <w:r w:rsidR="006B433C">
        <w:t xml:space="preserve">-19 </w:t>
      </w:r>
      <w:r w:rsidRPr="00544D81">
        <w:t>Vaccine Under Workers’ Compensation</w:t>
      </w:r>
    </w:p>
    <w:p w:rsidR="00544D81" w:rsidRPr="004E0A0F" w:rsidP="00544D81">
      <w:pPr>
        <w:pStyle w:val="20sp0"/>
        <w:spacing w:after="240"/>
      </w:pPr>
      <w:r w:rsidRPr="004E0A0F">
        <w:t xml:space="preserve">As the </w:t>
      </w:r>
      <w:r w:rsidRPr="004E0A0F" w:rsidR="006B433C">
        <w:t>COVID</w:t>
      </w:r>
      <w:r w:rsidRPr="004E0A0F" w:rsidR="006B433C">
        <w:t xml:space="preserve">-19 </w:t>
      </w:r>
      <w:r w:rsidRPr="004E0A0F">
        <w:t xml:space="preserve">vaccine becomes more </w:t>
      </w:r>
      <w:r w:rsidRPr="004E0A0F" w:rsidR="006B433C">
        <w:t xml:space="preserve">widely </w:t>
      </w:r>
      <w:r w:rsidRPr="004E0A0F">
        <w:t>available, employers should be cautious regarding whether they require a</w:t>
      </w:r>
      <w:r w:rsidRPr="004E0A0F" w:rsidR="006B433C">
        <w:t>n employee to be</w:t>
      </w:r>
      <w:r w:rsidRPr="004E0A0F">
        <w:t xml:space="preserve"> vaccin</w:t>
      </w:r>
      <w:r w:rsidRPr="004E0A0F" w:rsidR="006B433C">
        <w:t>ated</w:t>
      </w:r>
      <w:r w:rsidRPr="004E0A0F">
        <w:t xml:space="preserve"> to return to work. Under a mandatory vaccination policy, an employer would likely have to pay both for the vaccine </w:t>
      </w:r>
      <w:r w:rsidRPr="004E0A0F" w:rsidR="006B433C">
        <w:t>and</w:t>
      </w:r>
      <w:r w:rsidRPr="004E0A0F">
        <w:t xml:space="preserve"> any health complications under workers’ compensation.</w:t>
      </w:r>
      <w:r>
        <w:rPr>
          <w:rStyle w:val="FootnoteReference"/>
        </w:rPr>
        <w:footnoteReference w:id="68"/>
      </w:r>
      <w:r w:rsidRPr="004E0A0F">
        <w:t xml:space="preserve"> Thus, choosing to mandate or strongly encourage getting the vaccine may pose some benefit, </w:t>
      </w:r>
      <w:r w:rsidRPr="004E0A0F" w:rsidR="006B433C">
        <w:t xml:space="preserve">but may </w:t>
      </w:r>
      <w:r w:rsidRPr="004E0A0F">
        <w:t>also will lead to increased exposure. The E</w:t>
      </w:r>
      <w:r w:rsidRPr="004E0A0F" w:rsidR="006B433C">
        <w:t xml:space="preserve">qual </w:t>
      </w:r>
      <w:r w:rsidRPr="004E0A0F">
        <w:t>E</w:t>
      </w:r>
      <w:r w:rsidRPr="004E0A0F" w:rsidR="006B433C">
        <w:t xml:space="preserve">mployment </w:t>
      </w:r>
      <w:r w:rsidRPr="004E0A0F">
        <w:t>O</w:t>
      </w:r>
      <w:r w:rsidRPr="004E0A0F" w:rsidR="006B433C">
        <w:t xml:space="preserve">pportunity </w:t>
      </w:r>
      <w:r w:rsidRPr="004E0A0F">
        <w:t>C</w:t>
      </w:r>
      <w:r w:rsidRPr="004E0A0F" w:rsidR="006B433C">
        <w:t xml:space="preserve">ommission </w:t>
      </w:r>
      <w:r w:rsidRPr="004E0A0F">
        <w:t>offer</w:t>
      </w:r>
      <w:r w:rsidRPr="004E0A0F" w:rsidR="006B433C">
        <w:t>s</w:t>
      </w:r>
      <w:r w:rsidRPr="004E0A0F">
        <w:t xml:space="preserve"> guidance about employer-mandated vaccine programs.</w:t>
      </w:r>
      <w:r>
        <w:rPr>
          <w:rStyle w:val="FootnoteReference"/>
        </w:rPr>
        <w:footnoteReference w:id="69"/>
      </w:r>
    </w:p>
    <w:p w:rsidR="00544D81" w:rsidRPr="00544D81" w:rsidP="00544D81">
      <w:pPr>
        <w:pStyle w:val="Level4"/>
        <w:spacing w:line="480" w:lineRule="auto"/>
        <w:rPr>
          <w:b w:val="0"/>
        </w:rPr>
      </w:pPr>
      <w:r w:rsidRPr="00544D81">
        <w:t xml:space="preserve">Frequency </w:t>
      </w:r>
      <w:r w:rsidR="006B433C">
        <w:t>A</w:t>
      </w:r>
      <w:r w:rsidRPr="00544D81">
        <w:t>nd Industr</w:t>
      </w:r>
      <w:r w:rsidR="00A8177B">
        <w:t>ies</w:t>
      </w:r>
      <w:r w:rsidRPr="00544D81">
        <w:t xml:space="preserve"> </w:t>
      </w:r>
      <w:r w:rsidR="00A8177B">
        <w:t>Affected By Employee Lawsuits</w:t>
      </w:r>
      <w:r w:rsidR="006B433C">
        <w:t xml:space="preserve"> </w:t>
      </w:r>
      <w:r w:rsidR="00A8177B">
        <w:t xml:space="preserve">Due To </w:t>
      </w:r>
      <w:r w:rsidR="00BE7299">
        <w:t xml:space="preserve">The </w:t>
      </w:r>
      <w:r w:rsidR="00A8177B">
        <w:t>Coronavirus</w:t>
      </w:r>
      <w:r w:rsidR="00BE7299">
        <w:t xml:space="preserve"> Pandemic</w:t>
      </w:r>
    </w:p>
    <w:p w:rsidR="00544D81" w:rsidP="00544D81">
      <w:pPr>
        <w:pStyle w:val="20sp0"/>
        <w:spacing w:after="240"/>
        <w:rPr>
          <w:b/>
        </w:rPr>
      </w:pPr>
      <w:r w:rsidRPr="004E0A0F">
        <w:t>The employment litigation tracker maintained by Fisher Phillips</w:t>
      </w:r>
      <w:r w:rsidRPr="004E0A0F" w:rsidR="00A8177B">
        <w:t xml:space="preserve">, collecting data between January 30, 2020 through </w:t>
      </w:r>
      <w:r w:rsidRPr="004E0A0F" w:rsidR="00BE7299">
        <w:t xml:space="preserve">the </w:t>
      </w:r>
      <w:r w:rsidRPr="004E0A0F" w:rsidR="00A8177B">
        <w:t xml:space="preserve">present, </w:t>
      </w:r>
      <w:r w:rsidRPr="004E0A0F">
        <w:t>shows the following trends in California:</w:t>
      </w:r>
      <w:r w:rsidRPr="004E0A0F" w:rsidR="006B433C">
        <w:t xml:space="preserve"> </w:t>
      </w:r>
    </w:p>
    <w:p w:rsidR="004F2661" w:rsidRPr="004E0A0F" w:rsidP="004F2661">
      <w:pPr>
        <w:pStyle w:val="ListBullet2"/>
      </w:pPr>
      <w:r w:rsidRPr="004E0A0F">
        <w:t>Companies with 50 or fewer employees make up 40.6% of all cases.</w:t>
      </w:r>
    </w:p>
    <w:p w:rsidR="004F2661" w:rsidRPr="004E0A0F" w:rsidP="004F2661">
      <w:pPr>
        <w:pStyle w:val="ListBullet2"/>
      </w:pPr>
      <w:r w:rsidRPr="004E0A0F">
        <w:t>The health</w:t>
      </w:r>
      <w:r w:rsidRPr="004E0A0F" w:rsidR="006B433C">
        <w:t xml:space="preserve"> </w:t>
      </w:r>
      <w:r w:rsidRPr="004E0A0F">
        <w:t xml:space="preserve">care industry makes up 70.6% of all cases. </w:t>
      </w:r>
    </w:p>
    <w:p w:rsidR="00544D81" w:rsidRPr="00ED4774" w:rsidP="00544D81">
      <w:pPr>
        <w:pStyle w:val="ListBullet2"/>
      </w:pPr>
      <w:r w:rsidRPr="004E0A0F">
        <w:t xml:space="preserve">Claims against the government make up 3.4% of </w:t>
      </w:r>
      <w:r w:rsidRPr="004E0A0F" w:rsidR="006B433C">
        <w:t xml:space="preserve">all </w:t>
      </w:r>
      <w:r w:rsidRPr="004E0A0F">
        <w:t>cases.</w:t>
      </w:r>
    </w:p>
    <w:p w:rsidR="00544D81" w:rsidRPr="00544D81" w:rsidP="00544D81">
      <w:pPr>
        <w:pStyle w:val="Level4"/>
        <w:spacing w:line="480" w:lineRule="auto"/>
        <w:rPr>
          <w:b w:val="0"/>
        </w:rPr>
      </w:pPr>
      <w:r w:rsidRPr="00544D81">
        <w:t xml:space="preserve">Potential Changes </w:t>
      </w:r>
      <w:r w:rsidR="006B433C">
        <w:t>I</w:t>
      </w:r>
      <w:r w:rsidRPr="00544D81">
        <w:t xml:space="preserve">n Costs </w:t>
      </w:r>
      <w:r w:rsidR="006B433C">
        <w:t>O</w:t>
      </w:r>
      <w:r w:rsidRPr="00544D81">
        <w:t>f Cases</w:t>
      </w:r>
    </w:p>
    <w:p w:rsidR="00544D81" w:rsidRPr="004E0A0F" w:rsidP="00544D81">
      <w:pPr>
        <w:pStyle w:val="20sp0"/>
        <w:spacing w:after="240"/>
      </w:pPr>
      <w:r w:rsidRPr="004E0A0F">
        <w:t xml:space="preserve">The coronavirus </w:t>
      </w:r>
      <w:r w:rsidRPr="004E0A0F" w:rsidR="006B433C">
        <w:t xml:space="preserve">pandemic </w:t>
      </w:r>
      <w:r w:rsidRPr="004E0A0F">
        <w:t xml:space="preserve">will present various issues with respect to costs and settlement of workers’ compensation claims. </w:t>
      </w:r>
    </w:p>
    <w:p w:rsidR="00544D81" w:rsidRPr="004E0A0F" w:rsidP="00544D81">
      <w:pPr>
        <w:pStyle w:val="ListBullet2"/>
        <w:spacing w:line="480" w:lineRule="auto"/>
      </w:pPr>
      <w:r w:rsidRPr="004E0A0F">
        <w:t>Increased prevalence of tele-healthcare and virtual physical therapy will likely impact rehabilitation times of workers</w:t>
      </w:r>
      <w:r w:rsidRPr="004E0A0F" w:rsidR="006B433C">
        <w:t>, and probably not for the good</w:t>
      </w:r>
      <w:r w:rsidRPr="004E0A0F">
        <w:t>.</w:t>
      </w:r>
    </w:p>
    <w:p w:rsidR="00544D81" w:rsidRPr="004E0A0F" w:rsidP="00544D81">
      <w:pPr>
        <w:pStyle w:val="ListBullet2"/>
        <w:spacing w:line="480" w:lineRule="auto"/>
      </w:pPr>
      <w:r w:rsidRPr="004E0A0F">
        <w:t xml:space="preserve">As hospital capacity continues to be stretched to accommodate </w:t>
      </w:r>
      <w:r w:rsidRPr="004E0A0F" w:rsidR="006B433C">
        <w:t xml:space="preserve">patients infected with </w:t>
      </w:r>
      <w:r w:rsidRPr="004E0A0F">
        <w:t xml:space="preserve">the coronavirus, elective surgeries for joint and back-related work injuries will likely be delayed and </w:t>
      </w:r>
      <w:r w:rsidRPr="004E0A0F" w:rsidR="006B433C">
        <w:t xml:space="preserve">increase the </w:t>
      </w:r>
      <w:r w:rsidRPr="004E0A0F">
        <w:t xml:space="preserve">risk  of injury aggravation or medical complications. </w:t>
      </w:r>
    </w:p>
    <w:p w:rsidR="00544D81" w:rsidRPr="004E0A0F" w:rsidP="00544D81">
      <w:pPr>
        <w:pStyle w:val="ListBullet2"/>
        <w:spacing w:line="480" w:lineRule="auto"/>
      </w:pPr>
      <w:r w:rsidRPr="004E0A0F">
        <w:t xml:space="preserve">Insurers likely can expect a decrease in medical payments </w:t>
      </w:r>
      <w:r w:rsidRPr="004E0A0F" w:rsidR="006B433C">
        <w:t xml:space="preserve">claims </w:t>
      </w:r>
      <w:r w:rsidRPr="004E0A0F">
        <w:t xml:space="preserve">while </w:t>
      </w:r>
      <w:r w:rsidRPr="004E0A0F" w:rsidR="006B433C">
        <w:t xml:space="preserve">anticipating </w:t>
      </w:r>
      <w:r w:rsidRPr="004E0A0F">
        <w:t>an increase in wage replacement and pharmaceutical costs</w:t>
      </w:r>
      <w:r w:rsidRPr="004E0A0F" w:rsidR="006B433C">
        <w:t xml:space="preserve"> claims</w:t>
      </w:r>
      <w:r w:rsidRPr="004E0A0F">
        <w:t xml:space="preserve">. </w:t>
      </w:r>
    </w:p>
    <w:p w:rsidR="00544D81" w:rsidRPr="004E0A0F" w:rsidP="00544D81">
      <w:pPr>
        <w:pStyle w:val="ListBullet2"/>
        <w:spacing w:line="480" w:lineRule="auto"/>
      </w:pPr>
      <w:r w:rsidRPr="004E0A0F">
        <w:t>In states which allow settlement for worker’s compensation claims, there will likely be an increase in plaintiffs willing to settle claims</w:t>
      </w:r>
      <w:r w:rsidRPr="004E0A0F" w:rsidR="006B433C">
        <w:t xml:space="preserve"> earlier</w:t>
      </w:r>
      <w:r w:rsidRPr="004E0A0F">
        <w:t>.</w:t>
      </w:r>
    </w:p>
    <w:p w:rsidR="0049213F" w:rsidRPr="003B63BA" w:rsidP="0049213F">
      <w:pPr>
        <w:pStyle w:val="Level2"/>
      </w:pPr>
      <w:r>
        <w:t>Other Considerations</w:t>
      </w:r>
    </w:p>
    <w:p w:rsidR="006639BB" w:rsidP="009B22A3">
      <w:pPr>
        <w:pStyle w:val="Level3"/>
        <w:spacing w:line="480" w:lineRule="auto"/>
      </w:pPr>
      <w:r>
        <w:t>Premium Refunds May Not Be Confined to the Auto Industry</w:t>
      </w:r>
    </w:p>
    <w:p w:rsidR="00DB7414" w:rsidP="009B22A3">
      <w:pPr>
        <w:pStyle w:val="20sp0"/>
        <w:spacing w:after="240"/>
      </w:pPr>
      <w:r>
        <w:t xml:space="preserve">Although auto insurers were the catalyst for insurance premium refunds in 2020, other </w:t>
      </w:r>
      <w:r w:rsidR="006B433C">
        <w:t xml:space="preserve">segments of the insurance </w:t>
      </w:r>
      <w:r>
        <w:t>industr</w:t>
      </w:r>
      <w:r w:rsidR="006B433C">
        <w:t>y</w:t>
      </w:r>
      <w:r>
        <w:t xml:space="preserve"> may have to follow suit. </w:t>
      </w:r>
    </w:p>
    <w:p w:rsidR="00066C7F" w:rsidP="009B22A3">
      <w:pPr>
        <w:pStyle w:val="ListBullet2"/>
        <w:spacing w:line="480" w:lineRule="auto"/>
      </w:pPr>
      <w:r>
        <w:t>On April 13, 2020, California Insurance Commissioner Ricardo Lara issued Bulletin 2020-3</w:t>
      </w:r>
      <w:r>
        <w:rPr>
          <w:rStyle w:val="FootnoteReference"/>
        </w:rPr>
        <w:footnoteReference w:id="70"/>
      </w:r>
      <w:r>
        <w:t xml:space="preserve"> which ordered</w:t>
      </w:r>
      <w:r w:rsidR="006B433C">
        <w:t xml:space="preserve"> </w:t>
      </w:r>
      <w:r>
        <w:t>insurers</w:t>
      </w:r>
      <w:r>
        <w:rPr>
          <w:rStyle w:val="FootnoteReference"/>
        </w:rPr>
        <w:footnoteReference w:id="71"/>
      </w:r>
      <w:r>
        <w:t xml:space="preserve"> to make initial premium refunds for t</w:t>
      </w:r>
      <w:r w:rsidR="005257A8">
        <w:t>he months of March and April.</w:t>
      </w:r>
      <w:r w:rsidR="00DB7414">
        <w:t xml:space="preserve"> </w:t>
      </w:r>
    </w:p>
    <w:p w:rsidR="005257A8" w:rsidP="009B22A3">
      <w:pPr>
        <w:pStyle w:val="ListBullet2"/>
        <w:spacing w:line="480" w:lineRule="auto"/>
      </w:pPr>
      <w:r>
        <w:t>On May 15, 2020, Bulletin 2020-3 was extended to the month of May by Bulletin 2020-4.</w:t>
      </w:r>
      <w:r>
        <w:rPr>
          <w:rStyle w:val="FootnoteReference"/>
        </w:rPr>
        <w:footnoteReference w:id="72"/>
      </w:r>
      <w:r w:rsidR="00DB7414">
        <w:t xml:space="preserve"> </w:t>
      </w:r>
    </w:p>
    <w:p w:rsidR="00DB7414" w:rsidP="009B22A3">
      <w:pPr>
        <w:pStyle w:val="ListBullet2"/>
        <w:spacing w:line="480" w:lineRule="auto"/>
      </w:pPr>
      <w:r>
        <w:t>Subsequently, Commissioner Lara issued an Order</w:t>
      </w:r>
      <w:r>
        <w:rPr>
          <w:rStyle w:val="FootnoteReference"/>
        </w:rPr>
        <w:footnoteReference w:id="73"/>
      </w:r>
      <w:r>
        <w:t xml:space="preserve"> on July 1, 2020, which mandated insurance companies to re</w:t>
      </w:r>
      <w:r w:rsidR="006B433C">
        <w:t>-</w:t>
      </w:r>
      <w:r>
        <w:t>compute premium charges for workers’ compensation insurance, consistent with Bulletin</w:t>
      </w:r>
      <w:r w:rsidR="006B433C">
        <w:t>s</w:t>
      </w:r>
      <w:r>
        <w:t xml:space="preserve"> 2020-3 and 2020-4.</w:t>
      </w:r>
    </w:p>
    <w:p w:rsidR="006639BB" w:rsidRPr="00974F91" w:rsidP="009B22A3">
      <w:pPr>
        <w:pStyle w:val="20sp0"/>
        <w:spacing w:after="240"/>
      </w:pPr>
      <w:r>
        <w:t xml:space="preserve">Given </w:t>
      </w:r>
      <w:r w:rsidR="006B433C">
        <w:t xml:space="preserve">the </w:t>
      </w:r>
      <w:r>
        <w:t xml:space="preserve">California Department of Insurance’s signaling of its desire to alleviate financial concerns of insureds by directing </w:t>
      </w:r>
      <w:r w:rsidR="006B433C">
        <w:t xml:space="preserve">insurers </w:t>
      </w:r>
      <w:r w:rsidR="00DB7414">
        <w:t>to issue premium refunds</w:t>
      </w:r>
      <w:r>
        <w:t>, insurers can likely expect similar orders or bulletins from the Department in 2021 directing further premium refunds</w:t>
      </w:r>
      <w:r w:rsidR="006B433C">
        <w:t xml:space="preserve"> and expanding the scope to pick up other classes of insurance</w:t>
      </w:r>
      <w:r>
        <w:t xml:space="preserve">. </w:t>
      </w:r>
    </w:p>
    <w:p w:rsidR="0040194C" w:rsidP="009B22A3">
      <w:pPr>
        <w:pStyle w:val="Level3"/>
        <w:spacing w:line="480" w:lineRule="auto"/>
      </w:pPr>
      <w:r>
        <w:t xml:space="preserve">Insurance </w:t>
      </w:r>
      <w:r w:rsidR="0088754A">
        <w:t xml:space="preserve">Premium Rates Appear </w:t>
      </w:r>
      <w:r>
        <w:t>T</w:t>
      </w:r>
      <w:r w:rsidR="0088754A">
        <w:t xml:space="preserve">o Be Increasing Across </w:t>
      </w:r>
      <w:r>
        <w:t>T</w:t>
      </w:r>
      <w:r w:rsidR="0088754A">
        <w:t>he Industry</w:t>
      </w:r>
    </w:p>
    <w:p w:rsidR="00974F91" w:rsidP="009B22A3">
      <w:pPr>
        <w:pStyle w:val="20sp0"/>
        <w:spacing w:after="240"/>
      </w:pPr>
      <w:r>
        <w:t>Th</w:t>
      </w:r>
      <w:r w:rsidRPr="004E0A0F">
        <w:t>e</w:t>
      </w:r>
      <w:r w:rsidRPr="004E0A0F" w:rsidR="00253614">
        <w:t xml:space="preserve"> Insurance Value Added Network Services (“</w:t>
      </w:r>
      <w:r w:rsidRPr="004E0A0F">
        <w:t>IVANS</w:t>
      </w:r>
      <w:r w:rsidRPr="004E0A0F" w:rsidR="00253614">
        <w:t>”)</w:t>
      </w:r>
      <w:r w:rsidRPr="004E0A0F">
        <w:t xml:space="preserve"> </w:t>
      </w:r>
      <w:r>
        <w:t xml:space="preserve">Index, which </w:t>
      </w:r>
      <w:r w:rsidR="006639BB">
        <w:t xml:space="preserve">measures 120 million transactions </w:t>
      </w:r>
      <w:r>
        <w:t xml:space="preserve">from 32,000 independent insurance agencies and 400 insurers, released its </w:t>
      </w:r>
      <w:r>
        <w:t>Q3</w:t>
      </w:r>
      <w:r>
        <w:t xml:space="preserve"> Premium Renewal Report</w:t>
      </w:r>
      <w:r>
        <w:t xml:space="preserve"> </w:t>
      </w:r>
      <w:r>
        <w:t xml:space="preserve">which measures the premium difference year over </w:t>
      </w:r>
      <w:r w:rsidRPr="004E0A0F">
        <w:t xml:space="preserve">year </w:t>
      </w:r>
      <w:r w:rsidRPr="004E0A0F" w:rsidR="006B433C">
        <w:t>for various classes of insurance</w:t>
      </w:r>
      <w:r w:rsidRPr="004E0A0F" w:rsidR="0088754A">
        <w:t>.</w:t>
      </w:r>
      <w:r>
        <w:rPr>
          <w:rStyle w:val="FootnoteReference"/>
        </w:rPr>
        <w:footnoteReference w:id="74"/>
      </w:r>
      <w:r w:rsidR="0088754A">
        <w:t xml:space="preserve"> </w:t>
      </w:r>
      <w:r w:rsidR="0056221D">
        <w:t xml:space="preserve">For example, if an insured paid $1,000 for a policy </w:t>
      </w:r>
      <w:r w:rsidR="006B433C">
        <w:t xml:space="preserve">the </w:t>
      </w:r>
      <w:r w:rsidR="0056221D">
        <w:t xml:space="preserve">year </w:t>
      </w:r>
      <w:r w:rsidR="006B433C">
        <w:t xml:space="preserve">before </w:t>
      </w:r>
      <w:r w:rsidR="0056221D">
        <w:t>and $1,023 th</w:t>
      </w:r>
      <w:r w:rsidR="006B433C">
        <w:t>e</w:t>
      </w:r>
      <w:r w:rsidR="0056221D">
        <w:t xml:space="preserve"> year</w:t>
      </w:r>
      <w:r w:rsidR="006B433C">
        <w:t xml:space="preserve"> after</w:t>
      </w:r>
      <w:r w:rsidR="0056221D">
        <w:t xml:space="preserve">, </w:t>
      </w:r>
      <w:r w:rsidR="0056221D">
        <w:t>IVANS</w:t>
      </w:r>
      <w:r w:rsidR="0056221D">
        <w:t xml:space="preserve"> Index would </w:t>
      </w:r>
      <w:r w:rsidR="006B433C">
        <w:t>classify</w:t>
      </w:r>
      <w:r w:rsidR="0056221D">
        <w:t xml:space="preserve"> that as a premium renewal rate change of 2.3%.</w:t>
      </w:r>
      <w:r w:rsidR="006B433C">
        <w:t xml:space="preserve"> </w:t>
      </w:r>
      <w:r w:rsidR="0088754A">
        <w:t xml:space="preserve">The </w:t>
      </w:r>
      <w:r w:rsidR="0088754A">
        <w:t>Q3</w:t>
      </w:r>
      <w:r w:rsidR="0088754A">
        <w:t xml:space="preserve"> reports shows an increase in </w:t>
      </w:r>
      <w:r w:rsidR="006B433C">
        <w:t xml:space="preserve">premiums for </w:t>
      </w:r>
      <w:r w:rsidR="0088754A">
        <w:t xml:space="preserve">commercial auto, business owners, general liability and commercial property </w:t>
      </w:r>
      <w:r w:rsidR="006B433C">
        <w:t xml:space="preserve">in 2020 </w:t>
      </w:r>
      <w:r w:rsidR="0088754A">
        <w:t>as compared to 2019. However, workers</w:t>
      </w:r>
      <w:r w:rsidR="006B433C">
        <w:t>’</w:t>
      </w:r>
      <w:r w:rsidR="0088754A">
        <w:t xml:space="preserve"> compensation </w:t>
      </w:r>
      <w:r w:rsidR="006B433C">
        <w:t xml:space="preserve">insurance premiums </w:t>
      </w:r>
      <w:r w:rsidR="0088754A">
        <w:t xml:space="preserve">trended </w:t>
      </w:r>
      <w:r w:rsidR="0056221D">
        <w:t>negatively throughout the year.</w:t>
      </w:r>
    </w:p>
    <w:p w:rsidR="006639BB" w:rsidP="009B22A3">
      <w:pPr>
        <w:pStyle w:val="Level3"/>
        <w:spacing w:line="480" w:lineRule="auto"/>
      </w:pPr>
      <w:r>
        <w:t xml:space="preserve">Despite </w:t>
      </w:r>
      <w:r w:rsidR="006B433C">
        <w:t>T</w:t>
      </w:r>
      <w:r>
        <w:t xml:space="preserve">he Pandemic, Insurance </w:t>
      </w:r>
      <w:r w:rsidR="00225245">
        <w:t>Policies</w:t>
      </w:r>
      <w:r>
        <w:t xml:space="preserve"> </w:t>
      </w:r>
      <w:r w:rsidR="006B433C">
        <w:t>A</w:t>
      </w:r>
      <w:r>
        <w:t>re Being Renewed</w:t>
      </w:r>
    </w:p>
    <w:p w:rsidR="008F7AD8" w:rsidP="009B22A3">
      <w:pPr>
        <w:pStyle w:val="20sp0"/>
        <w:spacing w:after="240"/>
      </w:pPr>
      <w:r>
        <w:t xml:space="preserve">As exemplified by the JD Power </w:t>
      </w:r>
      <w:r w:rsidRPr="00B10A71">
        <w:t>Report</w:t>
      </w:r>
      <w:r w:rsidRPr="00B10A71" w:rsidR="000B163C">
        <w:t xml:space="preserve"> dated October 22, 2020</w:t>
      </w:r>
      <w:r w:rsidRPr="00B10A71">
        <w:t xml:space="preserve">, </w:t>
      </w:r>
      <w:r w:rsidRPr="00B10A71" w:rsidR="006B433C">
        <w:t>i</w:t>
      </w:r>
      <w:r w:rsidRPr="00B10A71">
        <w:t>nsurance</w:t>
      </w:r>
      <w:r>
        <w:t xml:space="preserve"> </w:t>
      </w:r>
      <w:r w:rsidR="006B433C">
        <w:t>p</w:t>
      </w:r>
      <w:r>
        <w:t>olicies are being renewed, despite the pandemic.</w:t>
      </w:r>
      <w:r w:rsidR="0036724D">
        <w:t xml:space="preserve"> </w:t>
      </w:r>
      <w:r>
        <w:t xml:space="preserve">In California, this could be due, in some part, to Commissioner Lara’s Notice posted on March 18, 2020 which requested that all insurers provider their insureds “with </w:t>
      </w:r>
      <w:r w:rsidRPr="003B63BA">
        <w:rPr>
          <w:u w:val="single"/>
        </w:rPr>
        <w:t>at least a 60-day grace period</w:t>
      </w:r>
      <w:r w:rsidRPr="003B63BA">
        <w:t xml:space="preserve"> </w:t>
      </w:r>
      <w:r>
        <w:t>to pay insurance premiums” to prevent the cancellation of policies due to non-payment</w:t>
      </w:r>
      <w:r w:rsidR="006B433C">
        <w:t xml:space="preserve"> (emphasis added)</w:t>
      </w:r>
      <w:r>
        <w:t>.</w:t>
      </w:r>
      <w:r>
        <w:rPr>
          <w:rStyle w:val="FootnoteReference"/>
        </w:rPr>
        <w:footnoteReference w:id="75"/>
      </w:r>
      <w:r>
        <w:t xml:space="preserve"> </w:t>
      </w:r>
    </w:p>
    <w:p w:rsidR="00A37912" w:rsidP="009B22A3">
      <w:pPr>
        <w:pStyle w:val="Level2"/>
        <w:spacing w:line="480" w:lineRule="auto"/>
        <w:rPr>
          <w:u w:val="none"/>
        </w:rPr>
      </w:pPr>
      <w:r>
        <w:rPr>
          <w:u w:val="none"/>
        </w:rPr>
        <w:t>Anticipated Changes in the Future</w:t>
      </w:r>
    </w:p>
    <w:p w:rsidR="00A37912" w:rsidP="009B22A3">
      <w:pPr>
        <w:pStyle w:val="Level3"/>
        <w:spacing w:line="480" w:lineRule="auto"/>
      </w:pPr>
      <w:r>
        <w:t xml:space="preserve">Prevalence </w:t>
      </w:r>
      <w:r w:rsidR="006B433C">
        <w:t>O</w:t>
      </w:r>
      <w:r>
        <w:t xml:space="preserve">f Cyber Insurance As </w:t>
      </w:r>
      <w:r w:rsidR="006B433C">
        <w:t>A</w:t>
      </w:r>
      <w:r>
        <w:t xml:space="preserve"> Stand Alone Policy</w:t>
      </w:r>
    </w:p>
    <w:p w:rsidR="00DB7414" w:rsidP="009B22A3">
      <w:pPr>
        <w:pStyle w:val="20sp0"/>
        <w:spacing w:after="240"/>
      </w:pPr>
      <w:r>
        <w:t xml:space="preserve">As telecommuting and the work-from-home model become the new norm, governmental entities and businesses will be at an increased risk for cyber losses. </w:t>
      </w:r>
      <w:r w:rsidR="00225245">
        <w:t>I</w:t>
      </w:r>
      <w:r>
        <w:t>nsurers or cyber</w:t>
      </w:r>
      <w:r w:rsidR="006B433C">
        <w:t xml:space="preserve"> </w:t>
      </w:r>
      <w:r>
        <w:t>insurers will likely begin to incorpo</w:t>
      </w:r>
      <w:r w:rsidR="00225245">
        <w:t>rate cyber insurance or create</w:t>
      </w:r>
      <w:r>
        <w:t xml:space="preserve"> an entire standalone policy to insure against such losses.</w:t>
      </w:r>
      <w:r w:rsidR="00040401">
        <w:t xml:space="preserve"> </w:t>
      </w:r>
    </w:p>
    <w:p w:rsidR="00A37912" w:rsidP="009B22A3">
      <w:pPr>
        <w:pStyle w:val="20sp0"/>
        <w:spacing w:after="240"/>
      </w:pPr>
      <w:r>
        <w:t>According to Mordor Intelligence, the cyber</w:t>
      </w:r>
      <w:r w:rsidR="006B433C">
        <w:t xml:space="preserve"> </w:t>
      </w:r>
      <w:r>
        <w:t xml:space="preserve">security </w:t>
      </w:r>
      <w:r w:rsidR="001A5A45">
        <w:t>insurance market was valued at $7.36 billion in 2019 and is expected to have a compound annual growth rate of 24.30% between 2020 and 2025</w:t>
      </w:r>
      <w:r w:rsidR="006B433C">
        <w:t>,</w:t>
      </w:r>
      <w:r w:rsidR="001A5A45">
        <w:t xml:space="preserve"> reaching a projected valuation of $27.83 billion by 2025.</w:t>
      </w:r>
      <w:r>
        <w:rPr>
          <w:rStyle w:val="FootnoteReference"/>
        </w:rPr>
        <w:footnoteReference w:id="76"/>
      </w:r>
      <w:r w:rsidR="001A5A45">
        <w:t xml:space="preserve"> </w:t>
      </w:r>
      <w:r w:rsidR="00040401">
        <w:t>Likewise</w:t>
      </w:r>
      <w:r w:rsidR="006B433C">
        <w:t>,</w:t>
      </w:r>
      <w:r w:rsidR="00040401">
        <w:t xml:space="preserve"> the S&amp;P Global Ratings estimates that </w:t>
      </w:r>
      <w:r w:rsidR="006B433C">
        <w:t>c</w:t>
      </w:r>
      <w:r w:rsidR="00040401">
        <w:t>yber insurance premiums total about $5 billion</w:t>
      </w:r>
      <w:r w:rsidR="006B433C">
        <w:t xml:space="preserve"> </w:t>
      </w:r>
      <w:r w:rsidRPr="004E0A0F" w:rsidR="0057502E">
        <w:t>currently</w:t>
      </w:r>
      <w:r w:rsidR="00040401">
        <w:t>, but expect a 20-30% increase in the coming years.</w:t>
      </w:r>
      <w:r>
        <w:rPr>
          <w:rStyle w:val="FootnoteReference"/>
        </w:rPr>
        <w:footnoteReference w:id="77"/>
      </w:r>
    </w:p>
    <w:p w:rsidR="00920D45" w:rsidP="009B22A3">
      <w:pPr>
        <w:pStyle w:val="Level1"/>
        <w:spacing w:line="480" w:lineRule="auto"/>
      </w:pPr>
      <w:r>
        <w:t>Practical Considerations For the Investigation of Claims</w:t>
      </w:r>
    </w:p>
    <w:p w:rsidR="00560CA1" w:rsidP="00560CA1">
      <w:pPr>
        <w:pStyle w:val="20sp0"/>
        <w:spacing w:after="240"/>
      </w:pPr>
      <w:r>
        <w:t>Insurers, businesses, and governmental entities should be cognizant of the practical considerations of claim investigation and management mo</w:t>
      </w:r>
      <w:r>
        <w:t>ving forward. Because of the on</w:t>
      </w:r>
      <w:r>
        <w:t xml:space="preserve">going </w:t>
      </w:r>
      <w:r>
        <w:t xml:space="preserve">and persistent nature </w:t>
      </w:r>
      <w:r>
        <w:t xml:space="preserve">of </w:t>
      </w:r>
      <w:r>
        <w:t xml:space="preserve">the </w:t>
      </w:r>
      <w:r>
        <w:t>coronavirus</w:t>
      </w:r>
      <w:r>
        <w:t xml:space="preserve"> pandemic,</w:t>
      </w:r>
      <w:r>
        <w:t xml:space="preserve"> and its ability to be transmitted through the air and </w:t>
      </w:r>
      <w:r>
        <w:t>by other means</w:t>
      </w:r>
      <w:r>
        <w:t xml:space="preserve">, </w:t>
      </w:r>
      <w:r>
        <w:t>the manner in which claims are investigated, evaluated and resolved is significantly impacted.</w:t>
      </w:r>
    </w:p>
    <w:p w:rsidR="00560CA1" w:rsidRPr="00D17A6E" w:rsidP="00D17A6E">
      <w:pPr>
        <w:pStyle w:val="ListBullet2"/>
        <w:spacing w:line="480" w:lineRule="auto"/>
        <w:rPr>
          <w:b/>
        </w:rPr>
      </w:pPr>
      <w:r w:rsidRPr="00D17A6E">
        <w:rPr>
          <w:b/>
        </w:rPr>
        <w:t>Field investigation</w:t>
      </w:r>
      <w:r w:rsidR="00ED143D">
        <w:rPr>
          <w:b/>
        </w:rPr>
        <w:t>s</w:t>
      </w:r>
    </w:p>
    <w:p w:rsidR="000822A1" w:rsidRPr="00164D86" w:rsidP="00D17A6E">
      <w:pPr>
        <w:pStyle w:val="ListBullet2"/>
        <w:numPr>
          <w:ilvl w:val="0"/>
          <w:numId w:val="0"/>
        </w:numPr>
        <w:spacing w:line="480" w:lineRule="auto"/>
        <w:ind w:left="1440"/>
      </w:pPr>
      <w:r w:rsidRPr="00164D86">
        <w:t>Consideration must be given to the risk</w:t>
      </w:r>
      <w:r w:rsidRPr="00164D86" w:rsidR="00ED143D">
        <w:t>s</w:t>
      </w:r>
      <w:r w:rsidRPr="00164D86">
        <w:t xml:space="preserve"> posed to the adjuster</w:t>
      </w:r>
      <w:r w:rsidRPr="00164D86" w:rsidR="00ED143D">
        <w:t>s</w:t>
      </w:r>
      <w:r w:rsidRPr="00164D86">
        <w:t>, investigator</w:t>
      </w:r>
      <w:r w:rsidRPr="00164D86" w:rsidR="00ED143D">
        <w:t>s</w:t>
      </w:r>
      <w:r w:rsidRPr="00164D86">
        <w:t xml:space="preserve"> and others as well as the risk to the public at large. Many insurers, claim adjusters, adjusting and investigation firms, risk consultants or managers and other allied parties have banned or severely restricted </w:t>
      </w:r>
      <w:r w:rsidRPr="00164D86" w:rsidR="00ED143D">
        <w:t xml:space="preserve">in performing </w:t>
      </w:r>
      <w:r w:rsidRPr="00164D86">
        <w:t>field adjustment</w:t>
      </w:r>
      <w:r w:rsidRPr="00164D86" w:rsidR="00ED143D">
        <w:t>s</w:t>
      </w:r>
      <w:r w:rsidRPr="00164D86">
        <w:t xml:space="preserve"> and investigation</w:t>
      </w:r>
      <w:r w:rsidRPr="00164D86" w:rsidR="00ED143D">
        <w:t>s</w:t>
      </w:r>
      <w:r w:rsidRPr="00164D86">
        <w:t>.</w:t>
      </w:r>
    </w:p>
    <w:p w:rsidR="00560CA1" w:rsidRPr="00D17A6E" w:rsidP="00D17A6E">
      <w:pPr>
        <w:pStyle w:val="ListBullet2"/>
        <w:spacing w:line="480" w:lineRule="auto"/>
        <w:rPr>
          <w:b/>
        </w:rPr>
      </w:pPr>
      <w:r w:rsidRPr="00D17A6E">
        <w:rPr>
          <w:b/>
        </w:rPr>
        <w:t>Witness i</w:t>
      </w:r>
      <w:r w:rsidRPr="00D17A6E">
        <w:rPr>
          <w:b/>
        </w:rPr>
        <w:t>nterviews</w:t>
      </w:r>
    </w:p>
    <w:p w:rsidR="005F700D" w:rsidP="00D17A6E">
      <w:pPr>
        <w:pStyle w:val="ListBullet2"/>
        <w:numPr>
          <w:ilvl w:val="0"/>
          <w:numId w:val="0"/>
        </w:numPr>
        <w:spacing w:line="480" w:lineRule="auto"/>
        <w:ind w:left="1440"/>
      </w:pPr>
      <w:r w:rsidRPr="00ED143D">
        <w:t>Witness who might otherwise be fully cooperative are more likely to decline cooperation out of concern for exposure, violation of public health orders, child care issues and a host of other limitations associated with the manner in which the coronavirus pandemic has upended society. Remote interviews and statements may be available via Zoom and other applications</w:t>
      </w:r>
      <w:r w:rsidR="00ED143D">
        <w:t>,</w:t>
      </w:r>
      <w:r w:rsidRPr="00ED143D">
        <w:t xml:space="preserve"> but the issue then becomes one of the effectiveness of a remote interview or statement.</w:t>
      </w:r>
    </w:p>
    <w:p w:rsidR="0073595F" w:rsidP="00D17A6E">
      <w:pPr>
        <w:pStyle w:val="ListBullet2"/>
        <w:numPr>
          <w:ilvl w:val="0"/>
          <w:numId w:val="0"/>
        </w:numPr>
        <w:spacing w:line="480" w:lineRule="auto"/>
        <w:ind w:left="1440"/>
      </w:pPr>
    </w:p>
    <w:p w:rsidR="0073595F" w:rsidRPr="00ED143D" w:rsidP="00D17A6E">
      <w:pPr>
        <w:pStyle w:val="ListBullet2"/>
        <w:numPr>
          <w:ilvl w:val="0"/>
          <w:numId w:val="0"/>
        </w:numPr>
        <w:spacing w:line="480" w:lineRule="auto"/>
        <w:ind w:left="1440"/>
      </w:pPr>
      <w:bookmarkStart w:id="0" w:name="_GoBack"/>
      <w:bookmarkEnd w:id="0"/>
    </w:p>
    <w:p w:rsidR="00560CA1" w:rsidRPr="00D17A6E" w:rsidP="00D17A6E">
      <w:pPr>
        <w:pStyle w:val="ListBullet2"/>
        <w:spacing w:line="480" w:lineRule="auto"/>
        <w:rPr>
          <w:b/>
        </w:rPr>
      </w:pPr>
      <w:r w:rsidRPr="00D17A6E">
        <w:rPr>
          <w:b/>
        </w:rPr>
        <w:t>Ability</w:t>
      </w:r>
      <w:r w:rsidRPr="00D17A6E" w:rsidR="000822A1">
        <w:rPr>
          <w:b/>
        </w:rPr>
        <w:t xml:space="preserve"> or willingness</w:t>
      </w:r>
      <w:r w:rsidRPr="00D17A6E">
        <w:rPr>
          <w:b/>
        </w:rPr>
        <w:t xml:space="preserve"> of members</w:t>
      </w:r>
      <w:r w:rsidRPr="00D17A6E" w:rsidR="000822A1">
        <w:rPr>
          <w:b/>
        </w:rPr>
        <w:t xml:space="preserve"> to cooperate</w:t>
      </w:r>
      <w:r w:rsidRPr="00D17A6E">
        <w:rPr>
          <w:b/>
        </w:rPr>
        <w:t xml:space="preserve"> </w:t>
      </w:r>
    </w:p>
    <w:p w:rsidR="005F700D" w:rsidRPr="00ED143D" w:rsidP="00D17A6E">
      <w:pPr>
        <w:pStyle w:val="ListBullet2"/>
        <w:numPr>
          <w:ilvl w:val="0"/>
          <w:numId w:val="0"/>
        </w:numPr>
        <w:spacing w:line="480" w:lineRule="auto"/>
        <w:ind w:left="1440"/>
      </w:pPr>
      <w:r w:rsidRPr="00ED143D">
        <w:t xml:space="preserve">Employees and staff of members are likely to be working remotely or otherwise have limited availability because they are quarantining, recovering from illness, caring for family members, unavailable due to child care commitments, etc. The net effect is delay, lack of cooperation, less effective investigation </w:t>
      </w:r>
      <w:r w:rsidRPr="00ED143D" w:rsidR="000856F7">
        <w:t>and an overall reduction in the expediency and effectiveness of handling a claim.</w:t>
      </w:r>
    </w:p>
    <w:p w:rsidR="000822A1" w:rsidRPr="00D17A6E" w:rsidP="00D17A6E">
      <w:pPr>
        <w:pStyle w:val="ListBullet2"/>
        <w:spacing w:line="480" w:lineRule="auto"/>
        <w:rPr>
          <w:b/>
        </w:rPr>
      </w:pPr>
      <w:r w:rsidRPr="00D17A6E">
        <w:rPr>
          <w:b/>
        </w:rPr>
        <w:t>Availability of governmental, law enforcement, and consultant resources</w:t>
      </w:r>
    </w:p>
    <w:p w:rsidR="000856F7" w:rsidRPr="00ED143D" w:rsidP="00D17A6E">
      <w:pPr>
        <w:pStyle w:val="ListBullet2"/>
        <w:numPr>
          <w:ilvl w:val="0"/>
          <w:numId w:val="0"/>
        </w:numPr>
        <w:spacing w:line="480" w:lineRule="auto"/>
        <w:ind w:left="1440"/>
      </w:pPr>
      <w:r w:rsidRPr="00ED143D">
        <w:t xml:space="preserve">Notwithstanding the essential nature of government services, law enforcement and expert consultants in various fields, such providers are likely to be understaffed (for all the same reasons affecting other employers) or offering reduced services. Again, the net effect is delay. </w:t>
      </w:r>
    </w:p>
    <w:p w:rsidR="00D17A6E" w:rsidRPr="00D17A6E" w:rsidP="00D17A6E">
      <w:pPr>
        <w:pStyle w:val="ListBullet2"/>
        <w:spacing w:line="480" w:lineRule="auto"/>
        <w:rPr>
          <w:b/>
        </w:rPr>
      </w:pPr>
      <w:r w:rsidRPr="00D17A6E">
        <w:rPr>
          <w:b/>
        </w:rPr>
        <w:t>Governmental regulations and directives</w:t>
      </w:r>
    </w:p>
    <w:p w:rsidR="00D17A6E" w:rsidP="00D17A6E">
      <w:pPr>
        <w:pStyle w:val="ListBullet2"/>
        <w:numPr>
          <w:ilvl w:val="0"/>
          <w:numId w:val="0"/>
        </w:numPr>
        <w:spacing w:line="480" w:lineRule="auto"/>
        <w:ind w:left="1440"/>
      </w:pPr>
      <w:r w:rsidRPr="00ED143D">
        <w:t>Regulators, such as Insurance Commissioners, have issued requests, recommendations and orders impacting the handling and resolution of claims during the coronavirus pandemic. These range from reminding insurers of the need to be vigilant and cooperative in working with claimants who may be adversely impacted</w:t>
      </w:r>
      <w:r w:rsidR="00ED143D">
        <w:t>,</w:t>
      </w:r>
      <w:r w:rsidRPr="00ED143D">
        <w:t xml:space="preserve"> to outright orders prohibiting denials of coverage under certain circumstances until any state of emergency order associated with the coronavirus pandemic has been lifted.  </w:t>
      </w:r>
    </w:p>
    <w:p w:rsidR="00F13D2E" w:rsidP="00D17A6E">
      <w:pPr>
        <w:pStyle w:val="ListBullet2"/>
        <w:numPr>
          <w:ilvl w:val="0"/>
          <w:numId w:val="0"/>
        </w:numPr>
        <w:spacing w:line="480" w:lineRule="auto"/>
        <w:ind w:left="1440"/>
      </w:pPr>
      <w:r>
        <w:t xml:space="preserve">Attached are </w:t>
      </w:r>
      <w:r w:rsidR="007168AE">
        <w:t>exa</w:t>
      </w:r>
      <w:r w:rsidR="00406F4A">
        <w:t>mples of three Notices issued b</w:t>
      </w:r>
      <w:r w:rsidR="007168AE">
        <w:t>y the California Department of Insurance</w:t>
      </w:r>
      <w:r w:rsidR="00406F4A">
        <w:t xml:space="preserve"> (“CDI”)</w:t>
      </w:r>
      <w:r w:rsidR="007168AE">
        <w:t xml:space="preserve"> in response to the handling of claims during the coronavirus pandemic:</w:t>
      </w:r>
    </w:p>
    <w:p w:rsidR="007168AE" w:rsidRPr="00443E51" w:rsidP="007D0262">
      <w:pPr>
        <w:pStyle w:val="ListBullet3"/>
        <w:spacing w:line="480" w:lineRule="auto"/>
      </w:pPr>
      <w:r w:rsidRPr="00443E51">
        <w:t>CDI Notice Dated March 18,</w:t>
      </w:r>
      <w:r w:rsidRPr="00443E51" w:rsidR="00502FD3">
        <w:t xml:space="preserve"> 2020: Commissioner Ricardo Lara</w:t>
      </w:r>
      <w:r w:rsidRPr="00443E51">
        <w:t xml:space="preserve"> “intends to consider the extraordinary circumstances relating to the </w:t>
      </w:r>
      <w:r w:rsidRPr="00443E51">
        <w:t>COVID</w:t>
      </w:r>
      <w:r w:rsidRPr="00443E51">
        <w:t xml:space="preserve">-19 outbreak and the resulting disruptions to normal business operations when evaluating whether insurers and other Department licensees have complied with their respective legal and commercial obligations during the </w:t>
      </w:r>
      <w:r w:rsidRPr="00443E51">
        <w:t>COVID</w:t>
      </w:r>
      <w:r w:rsidRPr="00443E51">
        <w:t>-19 pandemic.”</w:t>
      </w:r>
    </w:p>
    <w:p w:rsidR="00406F4A" w:rsidRPr="00255B84" w:rsidP="007D0262">
      <w:pPr>
        <w:pStyle w:val="ListBullet3"/>
        <w:spacing w:line="480" w:lineRule="auto"/>
      </w:pPr>
      <w:r w:rsidRPr="00255B84">
        <w:t>CDI</w:t>
      </w:r>
      <w:r w:rsidRPr="00255B84" w:rsidR="004F4967">
        <w:t xml:space="preserve"> Notice Dated March 18, 2020: Commissioner Lara</w:t>
      </w:r>
      <w:r w:rsidRPr="00255B84">
        <w:t xml:space="preserve"> “requested” that “all admitted and non- admitted insurance companies that provide any insurance coverage in California including, life, health, auto, property, casualty, and other types of insurance” provide their insureds with “</w:t>
      </w:r>
      <w:r w:rsidRPr="00255B84">
        <w:rPr>
          <w:u w:val="single"/>
        </w:rPr>
        <w:t>at least  a 60-day grace period”</w:t>
      </w:r>
      <w:r w:rsidRPr="00255B84">
        <w:t xml:space="preserve"> to pay their premiums.</w:t>
      </w:r>
      <w:r w:rsidRPr="00255B84" w:rsidR="00D468B8">
        <w:t xml:space="preserve"> </w:t>
      </w:r>
    </w:p>
    <w:p w:rsidR="00406F4A" w:rsidRPr="00255B84" w:rsidP="007D0262">
      <w:pPr>
        <w:pStyle w:val="ListBullet3"/>
        <w:spacing w:line="480" w:lineRule="auto"/>
      </w:pPr>
      <w:r w:rsidRPr="00255B84">
        <w:t xml:space="preserve">CDI Notice Dated April 3, 2020: </w:t>
      </w:r>
      <w:r w:rsidRPr="00255B84" w:rsidR="004F4967">
        <w:t>Commissioner Lara indicated</w:t>
      </w:r>
      <w:r w:rsidRPr="00255B84">
        <w:t xml:space="preserve"> </w:t>
      </w:r>
      <w:r w:rsidRPr="00255B84" w:rsidR="004F4967">
        <w:t>all</w:t>
      </w:r>
      <w:r w:rsidRPr="00255B84">
        <w:t xml:space="preserve"> licensees “should not attempt to enforce policy or statutory deadlines on policyholders until ninety (90) days after the end of the statewide "state of emergency" or other "state of emergency" that impacts a specific policyholder.”</w:t>
      </w:r>
    </w:p>
    <w:p w:rsidR="00502FD3" w:rsidRPr="00255B84" w:rsidP="007D0262">
      <w:pPr>
        <w:pStyle w:val="ListBullet3"/>
        <w:spacing w:line="480" w:lineRule="auto"/>
      </w:pPr>
      <w:r w:rsidRPr="00255B84">
        <w:t xml:space="preserve">CDI Notice Dated </w:t>
      </w:r>
      <w:r w:rsidRPr="00255B84" w:rsidR="007D0262">
        <w:t>May 14</w:t>
      </w:r>
      <w:r w:rsidRPr="00255B84">
        <w:t xml:space="preserve">, 2020: Commission Lara had received reports that various insurers were “unfairly taking advantage of the </w:t>
      </w:r>
      <w:r w:rsidRPr="00255B84">
        <w:t>COVID</w:t>
      </w:r>
      <w:r w:rsidRPr="00255B84">
        <w:t>-19 crisis” by “unjustifiably low settlement offers knowing financial need is high and recourse to the civil court system in the state is currently severely limited.”</w:t>
      </w:r>
      <w:r w:rsidRPr="00255B84" w:rsidR="007D0262">
        <w:t xml:space="preserve"> This</w:t>
      </w:r>
      <w:r w:rsidRPr="00255B84" w:rsidR="00F73403">
        <w:t xml:space="preserve"> notice set forth several practices that constitute unfair methods of competition under the California</w:t>
      </w:r>
      <w:r w:rsidRPr="00255B84">
        <w:t xml:space="preserve"> </w:t>
      </w:r>
      <w:r w:rsidRPr="00255B84" w:rsidR="007D0262">
        <w:t>Unfair Practices Act, codified as California Insurance Code section 790.03(h)</w:t>
      </w:r>
      <w:r w:rsidRPr="00255B84" w:rsidR="008B4246">
        <w:t>,</w:t>
      </w:r>
      <w:r w:rsidRPr="00255B84" w:rsidR="007D0262">
        <w:t xml:space="preserve"> and informed insurers that Commissioner </w:t>
      </w:r>
      <w:r w:rsidRPr="00255B84" w:rsidR="007D0262">
        <w:t xml:space="preserve">Lara and the CDI would </w:t>
      </w:r>
      <w:r w:rsidRPr="00255B84" w:rsidR="008B4246">
        <w:t>be pursuing all available remedies</w:t>
      </w:r>
      <w:r w:rsidRPr="00255B84" w:rsidR="007D0262">
        <w:t xml:space="preserve"> against any person in violation of this Act.</w:t>
      </w:r>
    </w:p>
    <w:p w:rsidR="000822A1" w:rsidRPr="00D17A6E" w:rsidP="00D17A6E">
      <w:pPr>
        <w:pStyle w:val="ListBullet2"/>
        <w:spacing w:line="480" w:lineRule="auto"/>
        <w:rPr>
          <w:b/>
        </w:rPr>
      </w:pPr>
      <w:r w:rsidRPr="00D17A6E">
        <w:rPr>
          <w:b/>
        </w:rPr>
        <w:t xml:space="preserve">Access and travel </w:t>
      </w:r>
    </w:p>
    <w:p w:rsidR="00455C33" w:rsidP="00D17A6E">
      <w:pPr>
        <w:pStyle w:val="ListBullet2"/>
        <w:numPr>
          <w:ilvl w:val="0"/>
          <w:numId w:val="0"/>
        </w:numPr>
        <w:spacing w:line="480" w:lineRule="auto"/>
        <w:ind w:left="1440"/>
      </w:pPr>
      <w:r w:rsidRPr="00ED143D">
        <w:t>Many states and jurisdictions have limited travel, access to services and imposed quarantine requirements. The limitations and rules can vary widely from city to city, county to county and state to state, and must also be taken into account in considering the most appropriate manner in which to handle a claim.</w:t>
      </w:r>
    </w:p>
    <w:p w:rsidR="00C523E3" w:rsidRPr="00455C33" w:rsidP="00455C33">
      <w:pPr>
        <w:pStyle w:val="ListBullet2"/>
        <w:rPr>
          <w:b/>
        </w:rPr>
      </w:pPr>
      <w:r w:rsidRPr="00455C33">
        <w:rPr>
          <w:b/>
        </w:rPr>
        <w:t>Claim resolution</w:t>
      </w:r>
    </w:p>
    <w:p w:rsidR="00C523E3" w:rsidRPr="00164D86" w:rsidP="00D17A6E">
      <w:pPr>
        <w:pStyle w:val="ListBullet2"/>
        <w:numPr>
          <w:ilvl w:val="0"/>
          <w:numId w:val="0"/>
        </w:numPr>
        <w:spacing w:line="480" w:lineRule="auto"/>
        <w:ind w:left="1440"/>
      </w:pPr>
      <w:r w:rsidRPr="00164D86">
        <w:t xml:space="preserve">Conversely, settlement opportunities may be presented </w:t>
      </w:r>
      <w:r w:rsidRPr="00164D86" w:rsidR="00ED143D">
        <w:t>which</w:t>
      </w:r>
      <w:r w:rsidRPr="00164D86">
        <w:t xml:space="preserve"> can result in saving business relationships or </w:t>
      </w:r>
      <w:r w:rsidRPr="00164D86" w:rsidR="00ED143D">
        <w:t>future costs</w:t>
      </w:r>
      <w:r w:rsidRPr="00164D86">
        <w:t>. Thus, remote mediations and other remote dispute resolution proceedings appear to be more</w:t>
      </w:r>
      <w:r w:rsidRPr="00164D86" w:rsidR="00ED143D">
        <w:t xml:space="preserve"> widely</w:t>
      </w:r>
      <w:r w:rsidRPr="00164D86">
        <w:t xml:space="preserve"> accepted and will </w:t>
      </w:r>
      <w:r w:rsidRPr="00164D86" w:rsidR="00BB4722">
        <w:t xml:space="preserve">most likely </w:t>
      </w:r>
      <w:r w:rsidRPr="00164D86">
        <w:t>become more common in the future.</w:t>
      </w:r>
    </w:p>
    <w:p w:rsidR="00DB630A" w:rsidP="009B22A3">
      <w:pPr>
        <w:pStyle w:val="Level1"/>
        <w:spacing w:line="480" w:lineRule="auto"/>
      </w:pPr>
      <w:r>
        <w:t>Litigation considerations regarding insurance claims</w:t>
      </w:r>
    </w:p>
    <w:p w:rsidR="00AD396A" w:rsidRPr="00164D86" w:rsidP="00AD396A">
      <w:pPr>
        <w:pStyle w:val="20sp0"/>
        <w:spacing w:after="240"/>
      </w:pPr>
      <w:r>
        <w:t xml:space="preserve">It is likely </w:t>
      </w:r>
      <w:r w:rsidR="00CC2D3F">
        <w:t xml:space="preserve">that courts will remain </w:t>
      </w:r>
      <w:r w:rsidR="00070F8C">
        <w:t>closed or with limited capacity</w:t>
      </w:r>
      <w:r w:rsidR="00CC2D3F">
        <w:t xml:space="preserve"> moving into 2021</w:t>
      </w:r>
      <w:r>
        <w:rPr>
          <w:rStyle w:val="FootnoteReference"/>
        </w:rPr>
        <w:footnoteReference w:id="78"/>
      </w:r>
      <w:r w:rsidR="00CC2D3F">
        <w:t xml:space="preserve">. Further, </w:t>
      </w:r>
      <w:r w:rsidR="004969F2">
        <w:t xml:space="preserve">there is undoubtedly a backlog of cases brought on </w:t>
      </w:r>
      <w:r w:rsidRPr="00164D86" w:rsidR="004969F2">
        <w:t xml:space="preserve">by previous closures </w:t>
      </w:r>
      <w:r w:rsidRPr="00164D86" w:rsidR="006B433C">
        <w:t xml:space="preserve">or delays </w:t>
      </w:r>
      <w:r w:rsidRPr="00164D86" w:rsidR="004969F2">
        <w:t>i</w:t>
      </w:r>
      <w:r w:rsidRPr="00164D86" w:rsidR="004D251B">
        <w:t xml:space="preserve">n 2020. Thus, as the potential for trials decreases and financial concerns put pressure on plaintiffs and their counsel, there may be a growing trend to settle claims more quickly </w:t>
      </w:r>
      <w:r w:rsidRPr="00164D86" w:rsidR="00070F8C">
        <w:t>or below policy limits moving forward</w:t>
      </w:r>
      <w:r w:rsidRPr="00164D86" w:rsidR="004D251B">
        <w:t>.</w:t>
      </w:r>
      <w:r w:rsidRPr="00164D86" w:rsidR="006B433C">
        <w:t xml:space="preserve"> </w:t>
      </w:r>
      <w:r w:rsidRPr="00164D86">
        <w:t xml:space="preserve">Conversely, when the pandemic subsides and courts resume full operation, </w:t>
      </w:r>
      <w:r w:rsidRPr="00164D86" w:rsidR="00BB4722">
        <w:t xml:space="preserve">risk managers should </w:t>
      </w:r>
      <w:r w:rsidRPr="00164D86">
        <w:t>expect</w:t>
      </w:r>
      <w:r w:rsidRPr="00164D86" w:rsidR="00BB4722">
        <w:t xml:space="preserve"> a flood of activity with some J</w:t>
      </w:r>
      <w:r w:rsidRPr="00164D86">
        <w:t>udges pushing parties and counsel hard to litigate and try cases swiftly</w:t>
      </w:r>
      <w:r w:rsidRPr="00164D86" w:rsidR="00BB4722">
        <w:t xml:space="preserve"> in order</w:t>
      </w:r>
      <w:r w:rsidRPr="00164D86">
        <w:t xml:space="preserve"> to reduce the backlog.</w:t>
      </w:r>
    </w:p>
    <w:p w:rsidR="00CC2D3F" w:rsidRPr="00164D86" w:rsidP="00C523E3">
      <w:pPr>
        <w:pStyle w:val="20sp0"/>
        <w:spacing w:after="240"/>
      </w:pPr>
      <w:r w:rsidRPr="00164D86">
        <w:t xml:space="preserve">The coronavirus is </w:t>
      </w:r>
      <w:r w:rsidRPr="00164D86" w:rsidR="00BB4722">
        <w:t xml:space="preserve">also </w:t>
      </w:r>
      <w:r w:rsidRPr="00164D86">
        <w:t>materially impacting litigation in other ways.</w:t>
      </w:r>
    </w:p>
    <w:p w:rsidR="00D25042" w:rsidRPr="00164D86" w:rsidP="00C523E3">
      <w:pPr>
        <w:pStyle w:val="ListBullet2"/>
        <w:spacing w:line="480" w:lineRule="auto"/>
      </w:pPr>
      <w:r w:rsidRPr="00164D86">
        <w:t xml:space="preserve">Otherwise tech-reluctant lawyers are being forced to develop an awareness of how telework, videoconferencing, paperless processes, and securely handling and transferring client data files can make life easier and save costs. </w:t>
      </w:r>
    </w:p>
    <w:p w:rsidR="005630B2" w:rsidRPr="00164D86" w:rsidP="00C523E3">
      <w:pPr>
        <w:pStyle w:val="ListBullet2"/>
        <w:spacing w:line="480" w:lineRule="auto"/>
      </w:pPr>
      <w:r w:rsidRPr="00164D86">
        <w:t>Litigators have historically resisted anything other than in-person, face-to-face depositions, mediations, arbitrations and trials. It is</w:t>
      </w:r>
      <w:r w:rsidRPr="00BB4722">
        <w:t xml:space="preserve"> also indisputable that the pandemic, and associated public health orders, have </w:t>
      </w:r>
      <w:r w:rsidRPr="00BB4722" w:rsidR="00AD396A">
        <w:t xml:space="preserve">forced litigators to face the reality of a Zoom-controlled litigation practice. </w:t>
      </w:r>
      <w:r w:rsidRPr="00BB4722">
        <w:t xml:space="preserve">Questions remain about the effectiveness of arguments held via computer where lawyers and </w:t>
      </w:r>
      <w:r w:rsidR="00BB4722">
        <w:t>J</w:t>
      </w:r>
      <w:r w:rsidRPr="00BB4722">
        <w:t>udges may find it difficult to communicate</w:t>
      </w:r>
      <w:r w:rsidR="00BB4722">
        <w:t>.</w:t>
      </w:r>
      <w:r w:rsidRPr="00BB4722">
        <w:t xml:space="preserve"> both because of technological issues and because of not being in the same location </w:t>
      </w:r>
      <w:r w:rsidRPr="00164D86">
        <w:t xml:space="preserve">with the non-verbal cues that human-to-human contact allows. In addition, the ability to assess the credibility of a witness over a computer or phone </w:t>
      </w:r>
      <w:r w:rsidRPr="00164D86" w:rsidR="00C523E3">
        <w:t>is generally regarded as</w:t>
      </w:r>
      <w:r w:rsidRPr="00164D86">
        <w:t xml:space="preserve"> less than ideal.</w:t>
      </w:r>
    </w:p>
    <w:p w:rsidR="00AD396A" w:rsidRPr="00C523E3" w:rsidP="00C523E3">
      <w:pPr>
        <w:pStyle w:val="ListBullet2"/>
        <w:spacing w:line="480" w:lineRule="auto"/>
        <w:rPr>
          <w:b/>
        </w:rPr>
      </w:pPr>
      <w:r w:rsidRPr="00164D86">
        <w:t xml:space="preserve">Lingering concerns remain, </w:t>
      </w:r>
      <w:r w:rsidRPr="00164D86" w:rsidR="005630B2">
        <w:t>moreover</w:t>
      </w:r>
      <w:r w:rsidRPr="00164D86">
        <w:t>, about the difficulty of managing document-intensive cases, avoiding inadvertent disclosure and whether juror</w:t>
      </w:r>
      <w:r w:rsidRPr="00164D86" w:rsidR="00BB4722">
        <w:t>s</w:t>
      </w:r>
      <w:r w:rsidRPr="00164D86">
        <w:t xml:space="preserve"> are paying attention or engaging in texting, emailing, net surfing and other distractions.</w:t>
      </w:r>
      <w:r w:rsidRPr="00164D86" w:rsidR="005630B2">
        <w:t xml:space="preserve"> </w:t>
      </w:r>
      <w:r w:rsidRPr="00164D86">
        <w:t xml:space="preserve">Remote, virtual trials have taken place and continue to occur in increasing numbers. Lawyers who have participated in such trials have, for the most part, deemed the process and the result acceptable. </w:t>
      </w:r>
      <w:r w:rsidRPr="00164D86" w:rsidR="00E47573">
        <w:t>Nevertheless, litigators</w:t>
      </w:r>
      <w:r w:rsidRPr="00BB4722" w:rsidR="00E47573">
        <w:t xml:space="preserve"> continue to harbor reservations about virtual trials in complex or high exposure cases.</w:t>
      </w:r>
    </w:p>
    <w:p w:rsidR="00754257" w:rsidRPr="00BB4722" w:rsidP="00C523E3">
      <w:pPr>
        <w:pStyle w:val="ListBullet2"/>
        <w:spacing w:line="480" w:lineRule="auto"/>
      </w:pPr>
      <w:r w:rsidRPr="00BB4722">
        <w:t>In the federal court system, overall case filings (excluding product liability cases) for the first 10 months of 2020 were down 10% from 2019. Looking at only March through October, case filings were down 12% in 2020 compared to 2019. May had the biggest drop-off in case filings. Case filings were 26% lower in May 2020 than May 2019.</w:t>
      </w:r>
    </w:p>
    <w:p w:rsidR="00754257" w:rsidRPr="00164D86" w:rsidP="00C523E3">
      <w:pPr>
        <w:pStyle w:val="ListBullet2"/>
        <w:spacing w:line="480" w:lineRule="auto"/>
      </w:pPr>
      <w:r w:rsidRPr="00BB4722">
        <w:t xml:space="preserve">Copyright, bankruptcy, and torts saw the biggest decrease in case filings in 2020 compared to 2019. </w:t>
      </w:r>
      <w:r w:rsidRPr="00164D86">
        <w:t>This finding confounds the prediction early during the pandemic that bankruptcy filings would increase dramatically. However, many observers expect more pandemic-related bankruptcy and torts cases to make their way into the federal courts in the coming years.</w:t>
      </w:r>
    </w:p>
    <w:p w:rsidR="00754257" w:rsidRPr="00164D86" w:rsidP="00C523E3">
      <w:pPr>
        <w:pStyle w:val="ListBullet2"/>
        <w:spacing w:line="480" w:lineRule="auto"/>
      </w:pPr>
      <w:r w:rsidRPr="00164D86">
        <w:t>The number of cases with findings (verdicts and judgments) were down in 2020 compared to the previous two years. Trials also plummeted in federal court in 2020 as there were only 477 cases with findings at trial compared to 980 cases with findings at trial in 2019 (a 51% drop). </w:t>
      </w:r>
    </w:p>
    <w:p w:rsidR="00E47573" w:rsidRPr="00BB4722" w:rsidP="00C523E3">
      <w:pPr>
        <w:pStyle w:val="ListBullet2"/>
        <w:spacing w:line="480" w:lineRule="auto"/>
      </w:pPr>
      <w:r w:rsidRPr="00164D86">
        <w:t xml:space="preserve">Federal District Courts are using a variety of measures to minimize, as much as possible, the inevitable delay in caseload disposition. The </w:t>
      </w:r>
      <w:r w:rsidRPr="00164D86">
        <w:rPr>
          <w:color w:val="000000" w:themeColor="text1"/>
        </w:rPr>
        <w:t xml:space="preserve">vast </w:t>
      </w:r>
      <w:r>
        <w:fldChar w:fldCharType="begin"/>
      </w:r>
      <w:r>
        <w:instrText xml:space="preserve"> HYPERLINK "https://news.bloomberglaw.com/us-law-week/juries-halted-staff-sick-u-s-trial-courts-cope-with-covid-19" </w:instrText>
      </w:r>
      <w:r>
        <w:fldChar w:fldCharType="separate"/>
      </w:r>
      <w:r w:rsidRPr="00164D86">
        <w:rPr>
          <w:bCs/>
          <w:color w:val="000000" w:themeColor="text1"/>
        </w:rPr>
        <w:t>majority</w:t>
      </w:r>
      <w:r>
        <w:fldChar w:fldCharType="end"/>
      </w:r>
      <w:r w:rsidRPr="00164D86">
        <w:rPr>
          <w:color w:val="000000" w:themeColor="text1"/>
        </w:rPr>
        <w:t xml:space="preserve"> of </w:t>
      </w:r>
      <w:r w:rsidRPr="00164D86">
        <w:t>the 94 U.S. District Courts have elected to restrict public</w:t>
      </w:r>
      <w:r w:rsidRPr="00BB4722">
        <w:t xml:space="preserve"> access to courthouse facilities, halt jury trials, and/or encourage or require the use of teleconferences for hearings for certain proceedings. Many such orders mention exem</w:t>
      </w:r>
      <w:r w:rsidRPr="00BB4722" w:rsidR="004117F4">
        <w:t>ption from the Speedy Trial Act</w:t>
      </w:r>
      <w:r w:rsidRPr="00BB4722">
        <w:t xml:space="preserve"> which mandates that criminal trials begin at a certain time and cannot be delayed.</w:t>
      </w:r>
    </w:p>
    <w:p w:rsidR="005630B2" w:rsidRPr="00BB4722" w:rsidP="00C523E3">
      <w:pPr>
        <w:pStyle w:val="ListBullet2"/>
        <w:spacing w:line="480" w:lineRule="auto"/>
      </w:pPr>
      <w:r w:rsidRPr="00BB4722">
        <w:t>Courts in some of the most seriously affected areas are using teleconferencing, email, and phone calls to deal with cases in which defendants are constitutionally entitled to a speedy trial.</w:t>
      </w:r>
    </w:p>
    <w:p w:rsidR="00AD396A" w:rsidRPr="00BB4722" w:rsidP="00C523E3">
      <w:pPr>
        <w:pStyle w:val="ListBullet2"/>
        <w:spacing w:line="480" w:lineRule="auto"/>
      </w:pPr>
      <w:r w:rsidRPr="00BB4722">
        <w:t>The U.S. Supreme Court began holding oral argument by telephone in 2020 for the first time in its venerated history. The process has not been without hiccups; observers claim they could hear a toilet flushing in the background during one session of telephonic oral argument.</w:t>
      </w:r>
      <w:r w:rsidRPr="00BB4722">
        <w:t xml:space="preserve">  </w:t>
      </w:r>
    </w:p>
    <w:p w:rsidR="004F2661" w:rsidP="00702DBC">
      <w:pPr>
        <w:pStyle w:val="Normal0"/>
        <w:spacing w:before="240"/>
      </w:pPr>
      <w:r w:rsidRPr="00702DBC">
        <w:rPr>
          <w:noProof/>
          <w:spacing w:val="-2"/>
          <w:sz w:val="16"/>
        </w:rPr>
        <w:t>7324015.2</w:t>
      </w:r>
      <w:r>
        <w:t xml:space="preserve"> </w:t>
      </w:r>
    </w:p>
    <w:sectPr w:rsidSect="002E1947">
      <w:headerReference w:type="even" r:id="rId6"/>
      <w:headerReference w:type="default" r:id="rId7"/>
      <w:footerReference w:type="default" r:id="rId8"/>
      <w:headerReference w:type="first" r:id="rId9"/>
      <w:footerReference w:type="first" r:id="rId10"/>
      <w:pgSz w:w="12240" w:h="15840"/>
      <w:pgMar w:top="-1440" w:right="1350" w:bottom="-979" w:left="144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2786398"/>
      <w:docPartObj>
        <w:docPartGallery w:val="Page Numbers (Bottom of Page)"/>
        <w:docPartUnique/>
      </w:docPartObj>
    </w:sdtPr>
    <w:sdtEndPr>
      <w:rPr>
        <w:noProof/>
      </w:rPr>
    </w:sdtEndPr>
    <w:sdtContent>
      <w:p w:rsidR="00406F4A">
        <w:pPr>
          <w:pStyle w:val="Footer"/>
          <w:jc w:val="center"/>
        </w:pPr>
        <w:r>
          <w:rPr>
            <w:noProof/>
          </w:rPr>
          <w:drawing>
            <wp:anchor distT="0" distB="0" distL="114300" distR="114300" simplePos="0" relativeHeight="251663360" behindDoc="0" locked="0" layoutInCell="1" allowOverlap="1">
              <wp:simplePos x="0" y="0"/>
              <wp:positionH relativeFrom="page">
                <wp:posOffset>152400</wp:posOffset>
              </wp:positionH>
              <wp:positionV relativeFrom="page">
                <wp:posOffset>9235440</wp:posOffset>
              </wp:positionV>
              <wp:extent cx="866775" cy="659130"/>
              <wp:effectExtent l="0" t="0" r="9525" b="762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2nd Page" descr="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3595F">
          <w:rPr>
            <w:noProof/>
          </w:rPr>
          <w:t>34</w:t>
        </w:r>
        <w:r>
          <w:rPr>
            <w:noProof/>
          </w:rPr>
          <w:fldChar w:fldCharType="end"/>
        </w:r>
      </w:p>
    </w:sdtContent>
  </w:sdt>
  <w:p w:rsidR="00406F4A" w:rsidP="00066D7C">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E1D" w:rsidP="00835E1D">
    <w:pPr>
      <w:pStyle w:val="Footer"/>
    </w:pPr>
    <w:r>
      <w:rPr>
        <w:noProof/>
      </w:rPr>
      <w:drawing>
        <wp:anchor distT="0" distB="0" distL="114300" distR="114300" simplePos="0" relativeHeight="251662336" behindDoc="0" locked="0" layoutInCell="1" allowOverlap="1">
          <wp:simplePos x="0" y="0"/>
          <wp:positionH relativeFrom="page">
            <wp:posOffset>333375</wp:posOffset>
          </wp:positionH>
          <wp:positionV relativeFrom="page">
            <wp:posOffset>9235440</wp:posOffset>
          </wp:positionV>
          <wp:extent cx="866775" cy="659130"/>
          <wp:effectExtent l="0" t="0" r="9525" b="7620"/>
          <wp:wrapNone/>
          <wp:docPr id="24" name="Pictur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2nd Page" descr="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51E8">
      <w:r>
        <w:separator/>
      </w:r>
    </w:p>
  </w:footnote>
  <w:footnote w:type="continuationSeparator" w:id="1">
    <w:p w:rsidR="004F51E8">
      <w:r>
        <w:continuationSeparator/>
      </w:r>
    </w:p>
  </w:footnote>
  <w:footnote w:id="2">
    <w:p w:rsidR="00406F4A" w:rsidP="00BA0614">
      <w:pPr>
        <w:pStyle w:val="FootnoteText"/>
        <w:tabs>
          <w:tab w:val="left" w:pos="360"/>
        </w:tabs>
      </w:pPr>
      <w:r>
        <w:rPr>
          <w:rStyle w:val="FootnoteReference"/>
        </w:rPr>
        <w:footnoteRef/>
      </w:r>
      <w:r w:rsidRPr="007A5805">
        <w:t>https://www.gov.ca.gov/wp-content/uploads/2020/03/3.4.20-Coronavirus-SOE-Proclamation.pdf</w:t>
      </w:r>
    </w:p>
  </w:footnote>
  <w:footnote w:id="3">
    <w:p w:rsidR="00406F4A" w:rsidP="005A7AC0">
      <w:pPr>
        <w:pStyle w:val="FootnoteText"/>
      </w:pPr>
      <w:r>
        <w:rPr>
          <w:rStyle w:val="FootnoteReference"/>
        </w:rPr>
        <w:footnoteRef/>
      </w:r>
      <w:r>
        <w:t xml:space="preserve"> </w:t>
      </w:r>
      <w:r>
        <w:fldChar w:fldCharType="begin"/>
      </w:r>
      <w:r>
        <w:instrText xml:space="preserve"> HYPERLINK "https://pubmed.ncbi.nlm.nih.gov/32191675/" </w:instrText>
      </w:r>
      <w:r>
        <w:fldChar w:fldCharType="separate"/>
      </w:r>
      <w:r w:rsidRPr="0004235F">
        <w:rPr>
          <w:rStyle w:val="Hyperlink"/>
        </w:rPr>
        <w:t>https://pubmed.ncbi.nlm.nih.gov/32191675/</w:t>
      </w:r>
      <w:r>
        <w:fldChar w:fldCharType="end"/>
      </w:r>
      <w:r>
        <w:t xml:space="preserve">; </w:t>
      </w:r>
      <w:r w:rsidRPr="007A5805">
        <w:t xml:space="preserve">WHO Director-General’s opening remarks at the media briefing on </w:t>
      </w:r>
      <w:r w:rsidRPr="007A5805">
        <w:t>COVID19</w:t>
      </w:r>
      <w:r w:rsidRPr="007A5805">
        <w:t xml:space="preserve"> -March 2020</w:t>
      </w:r>
    </w:p>
  </w:footnote>
  <w:footnote w:id="4">
    <w:p w:rsidR="00406F4A">
      <w:pPr>
        <w:pStyle w:val="FootnoteText"/>
      </w:pPr>
      <w:r>
        <w:rPr>
          <w:rStyle w:val="FootnoteReference"/>
        </w:rPr>
        <w:footnoteRef/>
      </w:r>
      <w:r>
        <w:t xml:space="preserve"> </w:t>
      </w:r>
      <w:r w:rsidRPr="00920348">
        <w:t>https://www.huntonak.com/en/covid-19-tracker.html</w:t>
      </w:r>
    </w:p>
  </w:footnote>
  <w:footnote w:id="5">
    <w:p w:rsidR="00406F4A" w:rsidP="005A7AC0">
      <w:pPr>
        <w:pStyle w:val="FootnoteText"/>
      </w:pPr>
      <w:r>
        <w:rPr>
          <w:rStyle w:val="FootnoteReference"/>
        </w:rPr>
        <w:footnoteRef/>
      </w:r>
      <w:r>
        <w:t xml:space="preserve"> </w:t>
      </w:r>
      <w:r w:rsidRPr="00350F70">
        <w:t>https://cclt.law.upenn.edu/</w:t>
      </w:r>
    </w:p>
  </w:footnote>
  <w:footnote w:id="6">
    <w:p w:rsidR="00406F4A" w:rsidP="008801C3">
      <w:pPr>
        <w:pStyle w:val="FootnoteText"/>
      </w:pPr>
      <w:r>
        <w:rPr>
          <w:rStyle w:val="FootnoteReference"/>
        </w:rPr>
        <w:footnoteRef/>
      </w:r>
      <w:r>
        <w:t xml:space="preserve"> </w:t>
      </w:r>
      <w:r w:rsidRPr="007F3750">
        <w:t>https://cclt.law.upenn.edu/judicial-rulings/</w:t>
      </w:r>
    </w:p>
  </w:footnote>
  <w:footnote w:id="7">
    <w:p w:rsidR="00406F4A" w:rsidP="00196FDF">
      <w:pPr>
        <w:pStyle w:val="FootnoteText"/>
      </w:pPr>
      <w:r>
        <w:rPr>
          <w:rStyle w:val="FootnoteReference"/>
        </w:rPr>
        <w:footnoteRef/>
      </w:r>
      <w:r>
        <w:t xml:space="preserve"> (N.D. Cal., Sept. 14, 2020, No. 20-CV-03213-</w:t>
      </w:r>
      <w:r>
        <w:t>JST</w:t>
      </w:r>
      <w:r>
        <w:t>) 2020 WL 5525171</w:t>
      </w:r>
    </w:p>
  </w:footnote>
  <w:footnote w:id="8">
    <w:p w:rsidR="00406F4A" w:rsidRPr="006511ED">
      <w:pPr>
        <w:pStyle w:val="FootnoteText"/>
      </w:pPr>
      <w:r w:rsidRPr="006511ED">
        <w:rPr>
          <w:rStyle w:val="FootnoteReference"/>
        </w:rPr>
        <w:footnoteRef/>
      </w:r>
      <w:r w:rsidRPr="006511ED">
        <w:t xml:space="preserve"> (2010) 187 Cal. App. 4th 766.</w:t>
      </w:r>
    </w:p>
  </w:footnote>
  <w:footnote w:id="9">
    <w:p w:rsidR="00406F4A" w:rsidRPr="006218AE" w:rsidP="008801C3">
      <w:pPr>
        <w:pStyle w:val="FootnoteText"/>
      </w:pPr>
      <w:r>
        <w:rPr>
          <w:rStyle w:val="FootnoteReference"/>
        </w:rPr>
        <w:footnoteRef/>
      </w:r>
      <w:r>
        <w:t xml:space="preserve"> </w:t>
      </w:r>
      <w:r w:rsidRPr="006218AE">
        <w:rPr>
          <w:i/>
        </w:rPr>
        <w:t>Mudpie</w:t>
      </w:r>
      <w:r w:rsidRPr="006218AE">
        <w:rPr>
          <w:i/>
        </w:rPr>
        <w:t>, Inc. v. Travelers Casualty Insurance Company of America</w:t>
      </w:r>
      <w:r>
        <w:t xml:space="preserve"> (N.D. Cal., Sept. 14, 2020, No. 20-CV-03213-</w:t>
      </w:r>
      <w:r>
        <w:t>JST</w:t>
      </w:r>
      <w:r>
        <w:t xml:space="preserve">) 2020 WL 5525171, at *6; </w:t>
      </w:r>
    </w:p>
  </w:footnote>
  <w:footnote w:id="10">
    <w:p w:rsidR="00406F4A" w:rsidP="008801C3">
      <w:pPr>
        <w:pStyle w:val="FootnoteText"/>
      </w:pPr>
      <w:r>
        <w:rPr>
          <w:rStyle w:val="FootnoteReference"/>
        </w:rPr>
        <w:footnoteRef/>
      </w:r>
      <w:r>
        <w:t xml:space="preserve"> </w:t>
      </w:r>
      <w:r w:rsidRPr="006218AE">
        <w:rPr>
          <w:i/>
        </w:rPr>
        <w:t>Water Sports Kauai, Inc. v. Fireman's Fund Insurance Company</w:t>
      </w:r>
      <w:r>
        <w:t xml:space="preserve"> (N.D. Cal., Nov. 9, 2020, No. 20-CV-03750-WHO) 2020 WL 6562332, at *4 [alleging “imminent threat” of the coronavirus.]</w:t>
      </w:r>
    </w:p>
  </w:footnote>
  <w:footnote w:id="11">
    <w:p w:rsidR="00406F4A" w:rsidP="008801C3">
      <w:pPr>
        <w:pStyle w:val="FootnoteText"/>
      </w:pPr>
      <w:r>
        <w:rPr>
          <w:rStyle w:val="FootnoteReference"/>
        </w:rPr>
        <w:footnoteRef/>
      </w:r>
      <w:r>
        <w:t xml:space="preserve"> </w:t>
      </w:r>
      <w:r w:rsidRPr="0047220E">
        <w:rPr>
          <w:i/>
        </w:rPr>
        <w:t>Studio 417, Inc. v. Cincinnati Insurance Company</w:t>
      </w:r>
      <w:r>
        <w:t xml:space="preserve"> (</w:t>
      </w:r>
      <w:r>
        <w:t>W.D</w:t>
      </w:r>
      <w:r>
        <w:t>. Mo., Aug. 12, 2020, No. 20-CV-03127-</w:t>
      </w:r>
      <w:r>
        <w:t>SRB</w:t>
      </w:r>
      <w:r>
        <w:t xml:space="preserve">) 2020 WL 4692385 [alleging presence of coronavirus in salons and restaurants]; </w:t>
      </w:r>
      <w:r w:rsidRPr="0047220E">
        <w:rPr>
          <w:i/>
        </w:rPr>
        <w:t>Blue Springs Dental Care, LLC v. Owners Insurance Company</w:t>
      </w:r>
      <w:r>
        <w:t xml:space="preserve"> (</w:t>
      </w:r>
      <w:r>
        <w:t>W.D</w:t>
      </w:r>
      <w:r>
        <w:t>. Mo., Sept. 21, 2020, No. 20-CV-00383-</w:t>
      </w:r>
      <w:r>
        <w:t>SRB</w:t>
      </w:r>
      <w:r>
        <w:t>) 2020 WL 5637963 [same in dental offices].</w:t>
      </w:r>
    </w:p>
  </w:footnote>
  <w:footnote w:id="12">
    <w:p w:rsidR="00406F4A" w:rsidRPr="006511ED">
      <w:pPr>
        <w:pStyle w:val="FootnoteText"/>
      </w:pPr>
      <w:r>
        <w:rPr>
          <w:rStyle w:val="FootnoteReference"/>
        </w:rPr>
        <w:footnoteRef/>
      </w:r>
      <w:r>
        <w:t xml:space="preserve"> </w:t>
      </w:r>
      <w:r w:rsidRPr="006511ED">
        <w:t>https://www.businessinsurance.com/article/20200609/NEWS06/912335029/COVID-19-may-complicate-civil-unrest-interruption-claims</w:t>
      </w:r>
      <w:r>
        <w:t>.</w:t>
      </w:r>
    </w:p>
  </w:footnote>
  <w:footnote w:id="13">
    <w:p w:rsidR="00406F4A" w:rsidRPr="0054178D">
      <w:pPr>
        <w:pStyle w:val="FootnoteText"/>
      </w:pPr>
      <w:r>
        <w:rPr>
          <w:rStyle w:val="FootnoteReference"/>
        </w:rPr>
        <w:footnoteRef/>
      </w:r>
      <w:r>
        <w:t xml:space="preserve"> </w:t>
      </w:r>
      <w:r w:rsidRPr="0054178D">
        <w:t xml:space="preserve">Mauricio Martinez, </w:t>
      </w:r>
      <w:r w:rsidRPr="0054178D">
        <w:t>D.M.D</w:t>
      </w:r>
      <w:r w:rsidRPr="0054178D">
        <w:t>., P.A. v. Allied Ins. Co. of Am., No. 2:20-cv-00401-</w:t>
      </w:r>
      <w:r w:rsidRPr="0054178D">
        <w:t>FtM</w:t>
      </w:r>
      <w:r w:rsidRPr="0054178D">
        <w:t>-</w:t>
      </w:r>
      <w:r w:rsidRPr="0054178D">
        <w:t>66NPM</w:t>
      </w:r>
      <w:r w:rsidRPr="0054178D">
        <w:t>, 2020 WL 5240218, at *2 (M.D. Fla. Sept. 20, 2020).</w:t>
      </w:r>
    </w:p>
  </w:footnote>
  <w:footnote w:id="14">
    <w:p w:rsidR="00406F4A" w:rsidRPr="0054178D" w:rsidP="00BF4B0E">
      <w:pPr>
        <w:pStyle w:val="FootnoteText"/>
      </w:pPr>
      <w:r w:rsidRPr="0054178D">
        <w:rPr>
          <w:rStyle w:val="FootnoteReference"/>
        </w:rPr>
        <w:footnoteRef/>
      </w:r>
      <w:r w:rsidRPr="0054178D">
        <w:t xml:space="preserve"> https://cclt.law.upenn.edu/judicial-rulings/</w:t>
      </w:r>
    </w:p>
  </w:footnote>
  <w:footnote w:id="15">
    <w:p w:rsidR="00406F4A" w:rsidRPr="0054178D" w:rsidP="006B433C">
      <w:pPr>
        <w:pStyle w:val="FootnoteText"/>
      </w:pPr>
      <w:r w:rsidRPr="0054178D">
        <w:rPr>
          <w:rStyle w:val="FootnoteReference"/>
        </w:rPr>
        <w:footnoteRef/>
      </w:r>
      <w:r w:rsidRPr="0054178D">
        <w:t xml:space="preserve"> </w:t>
      </w:r>
      <w:r w:rsidRPr="0054178D">
        <w:rPr>
          <w:i/>
        </w:rPr>
        <w:t>Elegant Massage, LLC v. State Farm Mutual Automobile Insurance Company</w:t>
      </w:r>
      <w:r w:rsidRPr="0054178D">
        <w:t xml:space="preserve"> (E.D. Va., Dec. 9, 2020, No. 2:20-CV-265) 2020 WL 7249624</w:t>
      </w:r>
      <w:r>
        <w:t>.</w:t>
      </w:r>
    </w:p>
  </w:footnote>
  <w:footnote w:id="16">
    <w:p w:rsidR="00406F4A">
      <w:pPr>
        <w:pStyle w:val="FootnoteText"/>
      </w:pPr>
      <w:r>
        <w:rPr>
          <w:rStyle w:val="FootnoteReference"/>
        </w:rPr>
        <w:footnoteRef/>
      </w:r>
      <w:r>
        <w:t xml:space="preserve"> </w:t>
      </w:r>
      <w:r>
        <w:fldChar w:fldCharType="begin"/>
      </w:r>
      <w:r>
        <w:instrText xml:space="preserve"> HYPERLINK "https://www.insurancejournal.com/news/national/2021/01/06/596259.htm" </w:instrText>
      </w:r>
      <w:r>
        <w:fldChar w:fldCharType="separate"/>
      </w:r>
      <w:r w:rsidRPr="00547A54">
        <w:rPr>
          <w:rStyle w:val="Hyperlink"/>
        </w:rPr>
        <w:t>https://www.insurancejournal.com/news/national/2021/01/06/596259.htm</w:t>
      </w:r>
      <w:r>
        <w:fldChar w:fldCharType="end"/>
      </w:r>
    </w:p>
  </w:footnote>
  <w:footnote w:id="17">
    <w:p w:rsidR="00406F4A" w:rsidRPr="0054178D">
      <w:pPr>
        <w:pStyle w:val="FootnoteText"/>
      </w:pPr>
      <w:r w:rsidRPr="0054178D">
        <w:rPr>
          <w:rStyle w:val="FootnoteReference"/>
        </w:rPr>
        <w:footnoteRef/>
      </w:r>
      <w:r w:rsidRPr="0054178D">
        <w:t xml:space="preserve"> CP 00 30 04 02.</w:t>
      </w:r>
    </w:p>
  </w:footnote>
  <w:footnote w:id="18">
    <w:p w:rsidR="00406F4A" w:rsidRPr="0053162B" w:rsidP="00812EE8">
      <w:pPr>
        <w:pStyle w:val="FootnoteText"/>
      </w:pPr>
      <w:r>
        <w:rPr>
          <w:rStyle w:val="FootnoteReference"/>
        </w:rPr>
        <w:footnoteRef/>
      </w:r>
      <w:r>
        <w:t xml:space="preserve"> </w:t>
      </w:r>
      <w:r w:rsidRPr="00EF7B02">
        <w:rPr>
          <w:i/>
        </w:rPr>
        <w:t>Syufy</w:t>
      </w:r>
      <w:r w:rsidRPr="00EF7B02">
        <w:rPr>
          <w:i/>
        </w:rPr>
        <w:t xml:space="preserve"> Enters. v. Home Ins. Co. of Ind.</w:t>
      </w:r>
      <w:r w:rsidRPr="00DE31BA">
        <w:t>, No. 94-</w:t>
      </w:r>
      <w:r>
        <w:t>0756 FMS, 1995 WL 129229, at *2-3</w:t>
      </w:r>
      <w:r w:rsidRPr="00DE31BA">
        <w:t>(N.D. Cal. Mar. 21, 1995)</w:t>
      </w:r>
      <w:r>
        <w:t xml:space="preserve"> [holding that curfew orders imposed after the Rodney King verdict were imposed “</w:t>
      </w:r>
      <w:r w:rsidRPr="00DE31BA">
        <w:t>to prevent ‘potential’ looting, rioting,</w:t>
      </w:r>
      <w:r>
        <w:t xml:space="preserve"> and resulting property damage” thus a theater owner was not entitled to civil authority coverage]; </w:t>
      </w:r>
      <w:r>
        <w:rPr>
          <w:i/>
        </w:rPr>
        <w:t>see also</w:t>
      </w:r>
      <w:r>
        <w:t xml:space="preserve"> </w:t>
      </w:r>
      <w:r w:rsidRPr="00DE31BA">
        <w:t xml:space="preserve"> </w:t>
      </w:r>
      <w:r w:rsidRPr="00DE31BA">
        <w:rPr>
          <w:i/>
        </w:rPr>
        <w:t>United Air Lines, Inc. v. Ins. Co. of State of Pa.</w:t>
      </w:r>
      <w:r w:rsidRPr="00DE31BA">
        <w:t xml:space="preserve">, 439 </w:t>
      </w:r>
      <w:r w:rsidRPr="00DE31BA">
        <w:t>F.3d</w:t>
      </w:r>
      <w:r w:rsidRPr="00DE31BA">
        <w:t xml:space="preserve"> 128, 129, 134 (</w:t>
      </w:r>
      <w:r w:rsidRPr="00DE31BA">
        <w:t>2d</w:t>
      </w:r>
      <w:r w:rsidRPr="00DE31BA">
        <w:t xml:space="preserve"> Cir. 2006) (affirming the district court's denial of coverage under a similar civil authority provision where the government's decision to halt airport operations on September 11, 2001 “was based on fears of future attacks” rather than prior physical damage to an adjacent property)</w:t>
      </w:r>
      <w:r>
        <w:t xml:space="preserve">; </w:t>
      </w:r>
      <w:r w:rsidRPr="007B0B69">
        <w:rPr>
          <w:i/>
        </w:rPr>
        <w:t xml:space="preserve">Jones, Walker, </w:t>
      </w:r>
      <w:r w:rsidRPr="007B0B69">
        <w:rPr>
          <w:i/>
        </w:rPr>
        <w:t>Waechter</w:t>
      </w:r>
      <w:r w:rsidRPr="007B0B69">
        <w:rPr>
          <w:i/>
        </w:rPr>
        <w:t xml:space="preserve">, </w:t>
      </w:r>
      <w:r w:rsidRPr="007B0B69">
        <w:rPr>
          <w:i/>
        </w:rPr>
        <w:t>Poitevent</w:t>
      </w:r>
      <w:r w:rsidRPr="007B0B69">
        <w:rPr>
          <w:i/>
        </w:rPr>
        <w:t xml:space="preserve">, Carrere &amp; </w:t>
      </w:r>
      <w:r w:rsidRPr="007B0B69">
        <w:rPr>
          <w:i/>
        </w:rPr>
        <w:t>Denegre</w:t>
      </w:r>
      <w:r w:rsidRPr="007B0B69">
        <w:rPr>
          <w:i/>
        </w:rPr>
        <w:t>, LLP v. Chubb Corp.</w:t>
      </w:r>
      <w:r>
        <w:t xml:space="preserve"> (E.D. La., Oct. 12, 2010, No. </w:t>
      </w:r>
      <w:r>
        <w:t>CIV.A</w:t>
      </w:r>
      <w:r>
        <w:t>. 09-6057) 2010 WL 4026375, at *3 [rejecting civil authority coverage for mandatory evacuation orders preceding Hurricane Gustave; “[r]</w:t>
      </w:r>
      <w:r>
        <w:t>eading</w:t>
      </w:r>
      <w:r>
        <w:t xml:space="preserve"> the Civil Authority section as a whole, it is clear that it was not written with the expectation that a civil authority order prohibiting access would issue before the property damage that forms the basis of the order actually occurs. The direct nexus between the damage sustained and the order that the policy requires suggests that the Policy was designed to address the situation where damage occurs and the civil authority subsequently prohibits access”].)</w:t>
      </w:r>
    </w:p>
  </w:footnote>
  <w:footnote w:id="19">
    <w:p w:rsidR="00406F4A" w:rsidP="00812EE8">
      <w:pPr>
        <w:pStyle w:val="FootnoteText"/>
      </w:pPr>
      <w:r>
        <w:rPr>
          <w:rStyle w:val="FootnoteReference"/>
        </w:rPr>
        <w:footnoteRef/>
      </w:r>
      <w:r>
        <w:t xml:space="preserve"> </w:t>
      </w:r>
      <w:r w:rsidRPr="005A74E8">
        <w:t>https://www.venable.com/insights/publications/2020/04/states-begin-to-introduce-legislation-business</w:t>
      </w:r>
      <w:r>
        <w:t>.</w:t>
      </w:r>
    </w:p>
  </w:footnote>
  <w:footnote w:id="20">
    <w:p w:rsidR="00406F4A" w:rsidP="00812EE8">
      <w:pPr>
        <w:pStyle w:val="FootnoteText"/>
      </w:pPr>
      <w:r>
        <w:rPr>
          <w:rStyle w:val="FootnoteReference"/>
        </w:rPr>
        <w:footnoteRef/>
      </w:r>
      <w:r>
        <w:t xml:space="preserve"> </w:t>
      </w:r>
      <w:r w:rsidRPr="007847D1">
        <w:t>https://leginfo.legislature.ca.gov/faces/billTextClient.xhtml?bill_id=201920200AB1552</w:t>
      </w:r>
      <w:r>
        <w:t>.</w:t>
      </w:r>
    </w:p>
  </w:footnote>
  <w:footnote w:id="21">
    <w:p w:rsidR="00406F4A" w:rsidRPr="0054178D" w:rsidP="003B5235">
      <w:pPr>
        <w:pStyle w:val="FootnoteText"/>
      </w:pPr>
      <w:r w:rsidRPr="0054178D">
        <w:rPr>
          <w:rStyle w:val="FootnoteReference"/>
        </w:rPr>
        <w:footnoteRef/>
      </w:r>
      <w:r w:rsidRPr="0054178D">
        <w:t xml:space="preserve"> 2019 California Assembly Bill No. 1552, California 2019-2020 Regular Session, 2019 California Assembly Bill No. 1552, California 2019-2020 Regular Session</w:t>
      </w:r>
      <w:r>
        <w:t>.</w:t>
      </w:r>
    </w:p>
  </w:footnote>
  <w:footnote w:id="22">
    <w:p w:rsidR="00406F4A" w:rsidRPr="0054178D" w:rsidP="003B5235">
      <w:pPr>
        <w:pStyle w:val="FootnoteText"/>
      </w:pPr>
      <w:r w:rsidRPr="0054178D">
        <w:rPr>
          <w:rStyle w:val="FootnoteReference"/>
        </w:rPr>
        <w:footnoteRef/>
      </w:r>
      <w:r w:rsidRPr="0054178D">
        <w:t xml:space="preserve"> California Assembly Journal, 2017-2018 Rec. No. 20</w:t>
      </w:r>
    </w:p>
  </w:footnote>
  <w:footnote w:id="23">
    <w:p w:rsidR="00406F4A">
      <w:pPr>
        <w:pStyle w:val="FootnoteText"/>
      </w:pPr>
      <w:r>
        <w:rPr>
          <w:rStyle w:val="FootnoteReference"/>
        </w:rPr>
        <w:footnoteRef/>
      </w:r>
      <w:r>
        <w:t xml:space="preserve"> </w:t>
      </w:r>
      <w:r w:rsidRPr="00B610B1">
        <w:t>https://www.abajournal.com/web/article/baseballs-fans-will-be-missed-but-not-their-legal-headaches</w:t>
      </w:r>
    </w:p>
  </w:footnote>
  <w:footnote w:id="24">
    <w:p w:rsidR="00406F4A" w:rsidP="005A7AC0">
      <w:pPr>
        <w:pStyle w:val="FootnoteText"/>
      </w:pPr>
      <w:r>
        <w:rPr>
          <w:rStyle w:val="FootnoteReference"/>
        </w:rPr>
        <w:footnoteRef/>
      </w:r>
      <w:r>
        <w:t xml:space="preserve"> </w:t>
      </w:r>
      <w:r w:rsidRPr="00666587">
        <w:t>https://www.fhwa.dot.gov/policyinformation/travel_monitoring/20octtvt/</w:t>
      </w:r>
    </w:p>
  </w:footnote>
  <w:footnote w:id="25">
    <w:p w:rsidR="00406F4A" w:rsidP="005A7AC0">
      <w:pPr>
        <w:pStyle w:val="FootnoteText"/>
      </w:pPr>
      <w:r>
        <w:rPr>
          <w:rStyle w:val="FootnoteReference"/>
        </w:rPr>
        <w:footnoteRef/>
      </w:r>
      <w:r>
        <w:t xml:space="preserve"> </w:t>
      </w:r>
      <w:r w:rsidRPr="00666587">
        <w:t>https://www.transtats.bts.gov/OSEA/TSI/</w:t>
      </w:r>
    </w:p>
  </w:footnote>
  <w:footnote w:id="26">
    <w:p w:rsidR="00406F4A" w:rsidRPr="00ED4774">
      <w:pPr>
        <w:pStyle w:val="FootnoteText"/>
      </w:pPr>
      <w:r>
        <w:rPr>
          <w:rStyle w:val="FootnoteReference"/>
        </w:rPr>
        <w:footnoteRef/>
      </w:r>
      <w:r>
        <w:t xml:space="preserve"> </w:t>
      </w:r>
      <w:r w:rsidRPr="00ED4774">
        <w:t>https://www.fhwa.dot.gov/policyinformation/travel_monitoring/20octtvt/page6.cfm</w:t>
      </w:r>
    </w:p>
  </w:footnote>
  <w:footnote w:id="27">
    <w:p w:rsidR="00406F4A" w:rsidRPr="00ED4774" w:rsidP="00D76ABE">
      <w:pPr>
        <w:pStyle w:val="FootnoteText"/>
      </w:pPr>
      <w:r w:rsidRPr="00ED4774">
        <w:rPr>
          <w:rStyle w:val="FootnoteReference"/>
        </w:rPr>
        <w:footnoteRef/>
      </w:r>
      <w:r w:rsidRPr="00ED4774">
        <w:t xml:space="preserve"> https://chicago.suntimes.com/2020/7/3/21311409/automobile-insurance-coronavirus-refunds-progressive-state-farm-allstate-geico-illinois-michigan</w:t>
      </w:r>
    </w:p>
  </w:footnote>
  <w:footnote w:id="28">
    <w:p w:rsidR="00406F4A" w:rsidP="00647523">
      <w:pPr>
        <w:pStyle w:val="FootnoteText"/>
      </w:pPr>
      <w:r>
        <w:rPr>
          <w:rStyle w:val="FootnoteReference"/>
        </w:rPr>
        <w:footnoteRef/>
      </w:r>
      <w:r>
        <w:t xml:space="preserve"> </w:t>
      </w:r>
      <w:r w:rsidRPr="00E005D1">
        <w:t>https://www.propertycasualty360.com/2020/10/06/a-look-at-auto-insurers-responses-to-the-first-covid-19-wave/?slreturn=20210005111354</w:t>
      </w:r>
    </w:p>
  </w:footnote>
  <w:footnote w:id="29">
    <w:p w:rsidR="00406F4A" w:rsidP="00647523">
      <w:pPr>
        <w:pStyle w:val="FootnoteText"/>
      </w:pPr>
      <w:r>
        <w:rPr>
          <w:rStyle w:val="FootnoteReference"/>
        </w:rPr>
        <w:footnoteRef/>
      </w:r>
      <w:r>
        <w:t xml:space="preserve"> </w:t>
      </w:r>
      <w:r w:rsidRPr="00666587">
        <w:t>https://www.iii.org/insuranceindustryblog/insurers-respond-to-covid-19-6-05-2020/</w:t>
      </w:r>
    </w:p>
  </w:footnote>
  <w:footnote w:id="30">
    <w:p w:rsidR="00406F4A" w:rsidP="00647523">
      <w:pPr>
        <w:pStyle w:val="FootnoteText"/>
      </w:pPr>
      <w:r>
        <w:rPr>
          <w:rStyle w:val="FootnoteReference"/>
        </w:rPr>
        <w:footnoteRef/>
      </w:r>
      <w:r>
        <w:t xml:space="preserve"> </w:t>
      </w:r>
      <w:r w:rsidRPr="00EE0F48">
        <w:t>https://www.insurance.ca.gov/0400-news/0100-press-releases/2020/release056-2020.cfm</w:t>
      </w:r>
    </w:p>
  </w:footnote>
  <w:footnote w:id="31">
    <w:p w:rsidR="00406F4A" w:rsidRPr="0054178D" w:rsidP="00D76ABE">
      <w:pPr>
        <w:pStyle w:val="FootnoteText"/>
      </w:pPr>
      <w:r w:rsidRPr="0054178D">
        <w:rPr>
          <w:rStyle w:val="FootnoteReference"/>
        </w:rPr>
        <w:footnoteRef/>
      </w:r>
      <w:r w:rsidRPr="0054178D">
        <w:t xml:space="preserve"> https://www.valuepenguin.com/state-of-auto-insurance-2021</w:t>
      </w:r>
    </w:p>
  </w:footnote>
  <w:footnote w:id="32">
    <w:p w:rsidR="00406F4A" w:rsidP="005E23FC">
      <w:pPr>
        <w:pStyle w:val="FootnoteText"/>
      </w:pPr>
      <w:r>
        <w:rPr>
          <w:rStyle w:val="FootnoteReference"/>
        </w:rPr>
        <w:footnoteRef/>
      </w:r>
      <w:r>
        <w:t xml:space="preserve"> </w:t>
      </w:r>
      <w:r w:rsidRPr="00666587">
        <w:t>https://www.jdpower.com/business/press-releases/2020-us-auto-claims-satisfaction-study?_hsenc=p2ANqtz--7AUyb06_Zgf-OpHndN1uqP1qdBDrSSBGT_bHVLlyC8aD4g8Sd9r1-c85Lbo9StaY1lYPb5kEU2CYgqFtJgxkxW8BMFg&amp;_hsmi=98009523&amp;hsCtaTracking=14406c19-1914-4cfb-8ef9-ef97956f073b%7C167b7562-25f2-4ac3-90a7-f43bd34d33b8</w:t>
      </w:r>
    </w:p>
  </w:footnote>
  <w:footnote w:id="33">
    <w:p w:rsidR="00406F4A" w:rsidRPr="00ED143D" w:rsidP="005E23FC">
      <w:pPr>
        <w:pStyle w:val="FootnoteText"/>
      </w:pPr>
      <w:r>
        <w:rPr>
          <w:rStyle w:val="FootnoteReference"/>
        </w:rPr>
        <w:footnoteRef/>
      </w:r>
      <w:r>
        <w:t xml:space="preserve"> </w:t>
      </w:r>
      <w:r w:rsidRPr="00ED143D">
        <w:t>Id.</w:t>
      </w:r>
    </w:p>
  </w:footnote>
  <w:footnote w:id="34">
    <w:p w:rsidR="00406F4A" w:rsidRPr="00ED143D" w:rsidP="0049213F">
      <w:pPr>
        <w:pStyle w:val="FootnoteText"/>
      </w:pPr>
      <w:r w:rsidRPr="00ED143D">
        <w:rPr>
          <w:rStyle w:val="FootnoteReference"/>
        </w:rPr>
        <w:footnoteRef/>
      </w:r>
      <w:r w:rsidRPr="00ED143D">
        <w:t xml:space="preserve"> https://www.iii.org/insuranceindustryblog/covid-19-impact-on-auto-insurance/</w:t>
      </w:r>
    </w:p>
  </w:footnote>
  <w:footnote w:id="35">
    <w:p w:rsidR="00406F4A" w:rsidRPr="00ED143D">
      <w:pPr>
        <w:pStyle w:val="FootnoteText"/>
      </w:pPr>
      <w:r w:rsidRPr="00ED143D">
        <w:rPr>
          <w:rStyle w:val="FootnoteReference"/>
        </w:rPr>
        <w:footnoteRef/>
      </w:r>
      <w:r w:rsidRPr="00ED143D">
        <w:t xml:space="preserve"> https://www.propertycasualty360.com/2021/01/14/americans-are-driving-more-recklessly-in-the-pandemic-data-shows/?enlcmp=nltrplt2&amp;kw=Americans%20are%20driving%20more%20recklessly%20in%20the%20pandemic%2C%20data%20shows&amp;utm_campaign=dailynews&amp;utm_content=20210114&amp;utm_medium=enl&amp;utm_source=email&amp;utm_term=pc360</w:t>
      </w:r>
    </w:p>
  </w:footnote>
  <w:footnote w:id="36">
    <w:p w:rsidR="00406F4A">
      <w:pPr>
        <w:pStyle w:val="FootnoteText"/>
      </w:pPr>
      <w:r w:rsidRPr="00ED143D">
        <w:rPr>
          <w:rStyle w:val="FootnoteReference"/>
        </w:rPr>
        <w:footnoteRef/>
      </w:r>
      <w:r w:rsidRPr="00ED143D">
        <w:t xml:space="preserve"> https://www.claimsjournal.com/news/national/2021/01/14/301480.htm</w:t>
      </w:r>
    </w:p>
  </w:footnote>
  <w:footnote w:id="37">
    <w:p w:rsidR="00406F4A" w:rsidP="0049213F">
      <w:pPr>
        <w:pStyle w:val="FootnoteText"/>
      </w:pPr>
      <w:r>
        <w:rPr>
          <w:rStyle w:val="FootnoteReference"/>
        </w:rPr>
        <w:footnoteRef/>
      </w:r>
      <w:r>
        <w:t xml:space="preserve"> </w:t>
      </w:r>
      <w:r w:rsidRPr="00425CEA">
        <w:t>https://www.timesheraldonline.com/2020/12/10/chp-speeding-tickets-for-going-more-than-100-mph-on-the-rise-in-solano</w:t>
      </w:r>
    </w:p>
  </w:footnote>
  <w:footnote w:id="38">
    <w:p w:rsidR="00406F4A">
      <w:pPr>
        <w:pStyle w:val="FootnoteText"/>
      </w:pPr>
      <w:r>
        <w:rPr>
          <w:rStyle w:val="FootnoteReference"/>
        </w:rPr>
        <w:footnoteRef/>
      </w:r>
      <w:r>
        <w:t xml:space="preserve"> </w:t>
      </w:r>
      <w:r w:rsidRPr="008D6CA2">
        <w:t>https://www.claimsjournal.com/news/national/2021/01/14/301480.htm</w:t>
      </w:r>
    </w:p>
  </w:footnote>
  <w:footnote w:id="39">
    <w:p w:rsidR="00406F4A">
      <w:pPr>
        <w:pStyle w:val="FootnoteText"/>
      </w:pPr>
      <w:r>
        <w:rPr>
          <w:rStyle w:val="FootnoteReference"/>
        </w:rPr>
        <w:footnoteRef/>
      </w:r>
      <w:r>
        <w:t xml:space="preserve"> </w:t>
      </w:r>
      <w:r w:rsidRPr="00731D26">
        <w:t>https://www.usatoday.com/story/money/2021/01/05/covid-19-lawsuits-pandemic-spawned-over-1-000-workplace-lawsuits/4135280001/</w:t>
      </w:r>
    </w:p>
  </w:footnote>
  <w:footnote w:id="40">
    <w:p w:rsidR="00406F4A">
      <w:pPr>
        <w:pStyle w:val="FootnoteText"/>
      </w:pPr>
      <w:r>
        <w:rPr>
          <w:rStyle w:val="FootnoteReference"/>
        </w:rPr>
        <w:footnoteRef/>
      </w:r>
      <w:r>
        <w:t xml:space="preserve"> </w:t>
      </w:r>
      <w:r w:rsidRPr="00351F50">
        <w:t>https://www.littler.com/covid-19</w:t>
      </w:r>
    </w:p>
  </w:footnote>
  <w:footnote w:id="41">
    <w:p w:rsidR="00406F4A" w:rsidP="00544D81">
      <w:pPr>
        <w:pStyle w:val="FootnoteText"/>
      </w:pPr>
      <w:r>
        <w:rPr>
          <w:rStyle w:val="FootnoteReference"/>
        </w:rPr>
        <w:footnoteRef/>
      </w:r>
      <w:r>
        <w:t xml:space="preserve"> </w:t>
      </w:r>
      <w:r w:rsidRPr="009054E5">
        <w:t>https://leginfo.legislature.ca.gov/faces/billTextClient.xhtml?bill_id=201920200SB1159</w:t>
      </w:r>
    </w:p>
  </w:footnote>
  <w:footnote w:id="42">
    <w:p w:rsidR="00406F4A" w:rsidRPr="00A7391D">
      <w:pPr>
        <w:pStyle w:val="FootnoteText"/>
      </w:pPr>
      <w:r w:rsidRPr="00A7391D">
        <w:rPr>
          <w:rStyle w:val="FootnoteReference"/>
        </w:rPr>
        <w:footnoteRef/>
      </w:r>
      <w:r w:rsidRPr="00A7391D">
        <w:t xml:space="preserve"> Labor Code § 3600.</w:t>
      </w:r>
    </w:p>
  </w:footnote>
  <w:footnote w:id="43">
    <w:p w:rsidR="00406F4A" w:rsidP="00A54798">
      <w:pPr>
        <w:pStyle w:val="FootnoteText"/>
      </w:pPr>
      <w:r>
        <w:rPr>
          <w:rStyle w:val="FootnoteReference"/>
        </w:rPr>
        <w:footnoteRef/>
      </w:r>
      <w:r>
        <w:t xml:space="preserve">  </w:t>
      </w:r>
      <w:r w:rsidRPr="004072A5">
        <w:t>https://www.lexology.com/library/detail.aspx?g=63a683f9-13fa-42eb-bf7c-12429fe94681</w:t>
      </w:r>
    </w:p>
  </w:footnote>
  <w:footnote w:id="44">
    <w:p w:rsidR="00406F4A" w:rsidRPr="00A7391D">
      <w:pPr>
        <w:pStyle w:val="FootnoteText"/>
      </w:pPr>
      <w:r>
        <w:rPr>
          <w:rStyle w:val="FootnoteReference"/>
        </w:rPr>
        <w:footnoteRef/>
      </w:r>
      <w:r>
        <w:t xml:space="preserve"> There are additional exceptions for failure to provide a guard</w:t>
      </w:r>
      <w:r w:rsidR="0073595F">
        <w:t xml:space="preserve"> on a power press [Labor Code § </w:t>
      </w:r>
      <w:r w:rsidRPr="00A7391D">
        <w:t>4558] and uninsured employers [Labor Code §  3706]</w:t>
      </w:r>
    </w:p>
  </w:footnote>
  <w:footnote w:id="45">
    <w:p w:rsidR="00406F4A" w:rsidRPr="00A7391D">
      <w:pPr>
        <w:pStyle w:val="FootnoteText"/>
      </w:pPr>
      <w:r w:rsidRPr="00A7391D">
        <w:rPr>
          <w:rStyle w:val="FootnoteReference"/>
        </w:rPr>
        <w:footnoteRef/>
      </w:r>
      <w:r w:rsidRPr="00A7391D">
        <w:t xml:space="preserve"> Labor Code § 3600(b)(1).</w:t>
      </w:r>
    </w:p>
  </w:footnote>
  <w:footnote w:id="46">
    <w:p w:rsidR="00406F4A" w:rsidRPr="00A7391D" w:rsidP="00504B29">
      <w:pPr>
        <w:pStyle w:val="FootnoteText"/>
      </w:pPr>
      <w:r w:rsidRPr="00A7391D">
        <w:rPr>
          <w:rStyle w:val="FootnoteReference"/>
        </w:rPr>
        <w:footnoteRef/>
      </w:r>
      <w:r w:rsidRPr="00A7391D">
        <w:t xml:space="preserve"> </w:t>
      </w:r>
      <w:r w:rsidRPr="00043B65">
        <w:rPr>
          <w:i/>
        </w:rPr>
        <w:t>Gunnell</w:t>
      </w:r>
      <w:r w:rsidRPr="00043B65">
        <w:rPr>
          <w:i/>
        </w:rPr>
        <w:t xml:space="preserve"> v. </w:t>
      </w:r>
      <w:r w:rsidRPr="00043B65">
        <w:rPr>
          <w:i/>
        </w:rPr>
        <w:t>Metrocolor</w:t>
      </w:r>
      <w:r w:rsidRPr="00043B65">
        <w:rPr>
          <w:i/>
        </w:rPr>
        <w:t xml:space="preserve"> Laboratories, Inc.</w:t>
      </w:r>
      <w:r w:rsidRPr="00A7391D">
        <w:t xml:space="preserve"> (2001) 92 Cal. App. 4th 710, 726.</w:t>
      </w:r>
    </w:p>
  </w:footnote>
  <w:footnote w:id="47">
    <w:p w:rsidR="00406F4A" w:rsidRPr="00A7391D">
      <w:pPr>
        <w:pStyle w:val="FootnoteText"/>
      </w:pPr>
      <w:r w:rsidRPr="00A7391D">
        <w:rPr>
          <w:rStyle w:val="FootnoteReference"/>
        </w:rPr>
        <w:footnoteRef/>
      </w:r>
      <w:r w:rsidRPr="00A7391D">
        <w:t xml:space="preserve"> Labor Code § 3600(b)(2).</w:t>
      </w:r>
    </w:p>
  </w:footnote>
  <w:footnote w:id="48">
    <w:p w:rsidR="00406F4A">
      <w:pPr>
        <w:pStyle w:val="FootnoteText"/>
      </w:pPr>
      <w:r>
        <w:rPr>
          <w:rStyle w:val="FootnoteReference"/>
        </w:rPr>
        <w:footnoteRef/>
      </w:r>
      <w:r>
        <w:t xml:space="preserve"> </w:t>
      </w:r>
      <w:r w:rsidRPr="00726568">
        <w:t xml:space="preserve">(Gov. Code, § 12940, </w:t>
      </w:r>
      <w:r w:rsidRPr="00726568">
        <w:t>subd</w:t>
      </w:r>
      <w:r w:rsidRPr="00726568">
        <w:t>. (a)</w:t>
      </w:r>
    </w:p>
  </w:footnote>
  <w:footnote w:id="49">
    <w:p w:rsidR="00406F4A" w:rsidRPr="00A7391D" w:rsidP="00B709B6">
      <w:pPr>
        <w:pStyle w:val="FootnoteText"/>
      </w:pPr>
      <w:r>
        <w:rPr>
          <w:rStyle w:val="FootnoteReference"/>
        </w:rPr>
        <w:footnoteRef/>
      </w:r>
      <w:r>
        <w:t xml:space="preserve"> </w:t>
      </w:r>
      <w:r w:rsidRPr="00A7391D">
        <w:rPr>
          <w:i/>
        </w:rPr>
        <w:t>Smalls v. Amazon</w:t>
      </w:r>
      <w:r w:rsidRPr="00A7391D">
        <w:t>, N.Y. (</w:t>
      </w:r>
      <w:r w:rsidRPr="00A7391D">
        <w:t>E.D.N.Y</w:t>
      </w:r>
      <w:r w:rsidRPr="00A7391D">
        <w:t>. 2020) Case No. 1:20-CV-05492</w:t>
      </w:r>
    </w:p>
  </w:footnote>
  <w:footnote w:id="50">
    <w:p w:rsidR="00406F4A" w:rsidRPr="00A7391D">
      <w:pPr>
        <w:pStyle w:val="FootnoteText"/>
      </w:pPr>
      <w:r w:rsidRPr="00A7391D">
        <w:rPr>
          <w:rStyle w:val="FootnoteReference"/>
        </w:rPr>
        <w:footnoteRef/>
      </w:r>
      <w:r w:rsidRPr="00A7391D">
        <w:t xml:space="preserve"> https://covid.cdc.gov/covid-data-tracker/#demographics</w:t>
      </w:r>
    </w:p>
  </w:footnote>
  <w:footnote w:id="51">
    <w:p w:rsidR="00406F4A" w:rsidRPr="00ED4774">
      <w:pPr>
        <w:pStyle w:val="FootnoteText"/>
      </w:pPr>
      <w:r w:rsidRPr="00ED4774">
        <w:rPr>
          <w:rStyle w:val="FootnoteReference"/>
        </w:rPr>
        <w:footnoteRef/>
      </w:r>
      <w:r w:rsidRPr="00ED4774">
        <w:t xml:space="preserve"> https://www.mayoclinic.org/diseases-conditions/coronavirus/expert-answers/coronavirus-infection-by-race/faq-20488802</w:t>
      </w:r>
    </w:p>
  </w:footnote>
  <w:footnote w:id="52">
    <w:p w:rsidR="00406F4A" w:rsidRPr="00A7391D">
      <w:pPr>
        <w:pStyle w:val="FootnoteText"/>
      </w:pPr>
      <w:r w:rsidRPr="00A7391D">
        <w:rPr>
          <w:rStyle w:val="FootnoteReference"/>
        </w:rPr>
        <w:footnoteRef/>
      </w:r>
      <w:r w:rsidRPr="00A7391D">
        <w:t xml:space="preserve"> https://www.fisherphillips.com/resources-alerts-covid-19-osha-whistleblower-claims</w:t>
      </w:r>
    </w:p>
  </w:footnote>
  <w:footnote w:id="53">
    <w:p w:rsidR="00406F4A" w:rsidRPr="00ED4774">
      <w:pPr>
        <w:pStyle w:val="FootnoteText"/>
      </w:pPr>
      <w:r w:rsidRPr="00A7391D">
        <w:rPr>
          <w:rStyle w:val="FootnoteReference"/>
        </w:rPr>
        <w:footnoteRef/>
      </w:r>
      <w:r w:rsidRPr="00A7391D">
        <w:t xml:space="preserve"> </w:t>
      </w:r>
      <w:r w:rsidRPr="00ED4774">
        <w:t>Labor Code § 3600(b)(3).</w:t>
      </w:r>
    </w:p>
  </w:footnote>
  <w:footnote w:id="54">
    <w:p w:rsidR="00406F4A" w:rsidRPr="00ED4774" w:rsidP="00B709B6">
      <w:pPr>
        <w:pStyle w:val="FootnoteText"/>
      </w:pPr>
      <w:r w:rsidRPr="00ED4774">
        <w:rPr>
          <w:rStyle w:val="FootnoteReference"/>
        </w:rPr>
        <w:footnoteRef/>
      </w:r>
      <w:r w:rsidRPr="00ED4774">
        <w:t xml:space="preserve"> Lab. Code, § 3715</w:t>
      </w:r>
    </w:p>
  </w:footnote>
  <w:footnote w:id="55">
    <w:p w:rsidR="00406F4A" w:rsidRPr="00ED4774">
      <w:pPr>
        <w:pStyle w:val="FootnoteText"/>
      </w:pPr>
      <w:r w:rsidRPr="00ED4774">
        <w:rPr>
          <w:rStyle w:val="FootnoteReference"/>
        </w:rPr>
        <w:footnoteRef/>
      </w:r>
      <w:r w:rsidRPr="00ED4774">
        <w:t xml:space="preserve"> </w:t>
      </w:r>
      <w:r>
        <w:fldChar w:fldCharType="begin"/>
      </w:r>
      <w:r>
        <w:instrText xml:space="preserve"> HYPERLINK "https://www.jdsupra.com/legalnews/covid-19-employment-litigation-trends-81384/" </w:instrText>
      </w:r>
      <w:r>
        <w:fldChar w:fldCharType="separate"/>
      </w:r>
      <w:r w:rsidRPr="00ED4774">
        <w:rPr>
          <w:rStyle w:val="Hyperlink"/>
        </w:rPr>
        <w:t>https://www.jdsupra.com/legalnews/covid-19-employment-litigation-trends-81384/</w:t>
      </w:r>
      <w:r>
        <w:fldChar w:fldCharType="end"/>
      </w:r>
      <w:r w:rsidRPr="00ED4774">
        <w:t xml:space="preserve">; </w:t>
      </w:r>
      <w:r>
        <w:fldChar w:fldCharType="begin"/>
      </w:r>
      <w:r>
        <w:instrText xml:space="preserve"> HYPERLINK "https://www.jdsupra.com/legalnews/covid-19-employment-litigation-trends-90706/" </w:instrText>
      </w:r>
      <w:r>
        <w:fldChar w:fldCharType="separate"/>
      </w:r>
      <w:r w:rsidRPr="00ED4774">
        <w:rPr>
          <w:rStyle w:val="Hyperlink"/>
        </w:rPr>
        <w:t>https://www.jdsupra.com/legalnews/covid-19-employment-litigation-trends-90706/</w:t>
      </w:r>
      <w:r>
        <w:fldChar w:fldCharType="end"/>
      </w:r>
      <w:r w:rsidRPr="00ED4774">
        <w:t xml:space="preserve"> </w:t>
      </w:r>
    </w:p>
  </w:footnote>
  <w:footnote w:id="56">
    <w:p w:rsidR="00406F4A" w:rsidRPr="00ED4774">
      <w:pPr>
        <w:pStyle w:val="FootnoteText"/>
      </w:pPr>
      <w:r w:rsidRPr="00ED4774">
        <w:rPr>
          <w:rStyle w:val="FootnoteReference"/>
        </w:rPr>
        <w:footnoteRef/>
      </w:r>
      <w:r w:rsidRPr="00ED4774">
        <w:t xml:space="preserve"> No. 20-CV-994 </w:t>
      </w:r>
      <w:r w:rsidRPr="00ED4774">
        <w:t>DMS</w:t>
      </w:r>
      <w:r w:rsidRPr="00ED4774">
        <w:t xml:space="preserve"> (</w:t>
      </w:r>
      <w:r w:rsidRPr="00ED4774">
        <w:t>JLB</w:t>
      </w:r>
      <w:r w:rsidRPr="00ED4774">
        <w:t>), 2020 WL 5294616 (S.D. Cal. Sept. 4, 2020)</w:t>
      </w:r>
    </w:p>
  </w:footnote>
  <w:footnote w:id="57">
    <w:p w:rsidR="00406F4A" w:rsidRPr="00ED4774">
      <w:pPr>
        <w:pStyle w:val="FootnoteText"/>
      </w:pPr>
      <w:r w:rsidRPr="00ED4774">
        <w:rPr>
          <w:rStyle w:val="FootnoteReference"/>
        </w:rPr>
        <w:footnoteRef/>
      </w:r>
      <w:r w:rsidRPr="00ED4774">
        <w:t xml:space="preserve"> No. 8:20-CV-1460-T-</w:t>
      </w:r>
      <w:r w:rsidRPr="00ED4774">
        <w:t>33AEP</w:t>
      </w:r>
      <w:r w:rsidRPr="00ED4774">
        <w:t>, 2020 WL 5016902 (M.D. Fla. Aug. 25, 2020)</w:t>
      </w:r>
    </w:p>
  </w:footnote>
  <w:footnote w:id="58">
    <w:p w:rsidR="00406F4A" w:rsidRPr="00ED4774">
      <w:pPr>
        <w:pStyle w:val="FootnoteText"/>
      </w:pPr>
      <w:r w:rsidRPr="00ED4774">
        <w:rPr>
          <w:rStyle w:val="FootnoteReference"/>
        </w:rPr>
        <w:footnoteRef/>
      </w:r>
      <w:r w:rsidRPr="00ED4774">
        <w:t xml:space="preserve"> 29 </w:t>
      </w:r>
      <w:r w:rsidRPr="00ED4774">
        <w:t>C.F.R</w:t>
      </w:r>
      <w:r w:rsidRPr="00ED4774">
        <w:t xml:space="preserve">. § 826.150(b)(2); 29 </w:t>
      </w:r>
      <w:r w:rsidRPr="00ED4774">
        <w:t>U.S.C</w:t>
      </w:r>
      <w:r w:rsidRPr="00ED4774">
        <w:t>. 216, 217</w:t>
      </w:r>
    </w:p>
  </w:footnote>
  <w:footnote w:id="59">
    <w:p w:rsidR="00406F4A" w:rsidRPr="00ED4774">
      <w:pPr>
        <w:pStyle w:val="FootnoteText"/>
      </w:pPr>
      <w:r w:rsidRPr="00ED4774">
        <w:rPr>
          <w:rStyle w:val="FootnoteReference"/>
        </w:rPr>
        <w:footnoteRef/>
      </w:r>
      <w:r w:rsidRPr="00ED4774">
        <w:t xml:space="preserve"> No. 19-CV-3152 (JEB), 2020 WL 4530581 (</w:t>
      </w:r>
      <w:r w:rsidRPr="00ED4774">
        <w:t>D.D.C</w:t>
      </w:r>
      <w:r w:rsidRPr="00ED4774">
        <w:t>. Aug. 6, 2020)</w:t>
      </w:r>
    </w:p>
  </w:footnote>
  <w:footnote w:id="60">
    <w:p w:rsidR="00406F4A" w:rsidRPr="00ED4774">
      <w:pPr>
        <w:pStyle w:val="FootnoteText"/>
      </w:pPr>
      <w:r w:rsidRPr="00ED4774">
        <w:rPr>
          <w:rStyle w:val="FootnoteReference"/>
        </w:rPr>
        <w:footnoteRef/>
      </w:r>
      <w:r w:rsidRPr="00ED4774">
        <w:t xml:space="preserve"> No. 3:20-CV-30144-</w:t>
      </w:r>
      <w:r w:rsidRPr="00ED4774">
        <w:t>KAR</w:t>
      </w:r>
      <w:r w:rsidRPr="00ED4774">
        <w:t>, 2020 WL 5542719 (D. Mass. Sept. 16, 2020)</w:t>
      </w:r>
    </w:p>
  </w:footnote>
  <w:footnote w:id="61">
    <w:p w:rsidR="00406F4A" w:rsidRPr="00ED4774">
      <w:pPr>
        <w:pStyle w:val="FootnoteText"/>
      </w:pPr>
      <w:r w:rsidRPr="00ED4774">
        <w:rPr>
          <w:rStyle w:val="FootnoteReference"/>
        </w:rPr>
        <w:footnoteRef/>
      </w:r>
      <w:r w:rsidRPr="00ED4774">
        <w:t xml:space="preserve"> No. 2:20-CV-38, 2020 WL 7240159 (M.D. Tenn. Dec. 9, 2020)</w:t>
      </w:r>
    </w:p>
  </w:footnote>
  <w:footnote w:id="62">
    <w:p w:rsidR="00406F4A" w:rsidRPr="004E0A0F" w:rsidP="00544D81">
      <w:pPr>
        <w:pStyle w:val="FootnoteText"/>
      </w:pPr>
      <w:r w:rsidRPr="004E0A0F">
        <w:rPr>
          <w:rStyle w:val="FootnoteReference"/>
        </w:rPr>
        <w:footnoteRef/>
      </w:r>
      <w:r w:rsidRPr="004E0A0F">
        <w:t xml:space="preserve"> https://www.bls.gov/news.release/pdf/empsit.pdf</w:t>
      </w:r>
    </w:p>
  </w:footnote>
  <w:footnote w:id="63">
    <w:p w:rsidR="00406F4A" w:rsidP="00544D81">
      <w:pPr>
        <w:pStyle w:val="FootnoteText"/>
      </w:pPr>
      <w:r>
        <w:rPr>
          <w:rStyle w:val="FootnoteReference"/>
        </w:rPr>
        <w:footnoteRef/>
      </w:r>
      <w:r>
        <w:t xml:space="preserve"> </w:t>
      </w:r>
      <w:r w:rsidRPr="003E008D">
        <w:t>https://www.osha.gov/laws-regs/standardinterpretations/2009-03-30#:~:text=Injuries%20and%20illnesses%20that%20occur,to%20the%20performance%20of%20work</w:t>
      </w:r>
    </w:p>
  </w:footnote>
  <w:footnote w:id="64">
    <w:p w:rsidR="00406F4A" w:rsidP="00544D81">
      <w:pPr>
        <w:pStyle w:val="FootnoteText"/>
      </w:pPr>
      <w:r>
        <w:rPr>
          <w:rStyle w:val="FootnoteReference"/>
        </w:rPr>
        <w:footnoteRef/>
      </w:r>
      <w:r>
        <w:t xml:space="preserve"> Id.</w:t>
      </w:r>
    </w:p>
  </w:footnote>
  <w:footnote w:id="65">
    <w:p w:rsidR="00406F4A" w:rsidP="00544D81">
      <w:pPr>
        <w:pStyle w:val="FootnoteText"/>
      </w:pPr>
      <w:r>
        <w:rPr>
          <w:rStyle w:val="FootnoteReference"/>
        </w:rPr>
        <w:footnoteRef/>
      </w:r>
      <w:r>
        <w:t xml:space="preserve"> </w:t>
      </w:r>
      <w:r w:rsidRPr="00A956DA">
        <w:t>https://osg.ca/7-simple-tips-for-improving-workplace-ergonomics/</w:t>
      </w:r>
    </w:p>
  </w:footnote>
  <w:footnote w:id="66">
    <w:p w:rsidR="00406F4A" w:rsidP="00544D81">
      <w:pPr>
        <w:pStyle w:val="FootnoteText"/>
      </w:pPr>
      <w:r>
        <w:rPr>
          <w:rStyle w:val="FootnoteReference"/>
        </w:rPr>
        <w:footnoteRef/>
      </w:r>
      <w:r>
        <w:t xml:space="preserve"> </w:t>
      </w:r>
      <w:r w:rsidRPr="00A956DA">
        <w:t>https://www.mayoclinic.org/healthy-lifestyle/adult-health/in-depth/office-ergonomics/art-20046169</w:t>
      </w:r>
    </w:p>
  </w:footnote>
  <w:footnote w:id="67">
    <w:p w:rsidR="00406F4A" w:rsidP="00544D81">
      <w:pPr>
        <w:pStyle w:val="FootnoteText"/>
      </w:pPr>
      <w:r>
        <w:rPr>
          <w:rStyle w:val="FootnoteReference"/>
        </w:rPr>
        <w:footnoteRef/>
      </w:r>
      <w:r>
        <w:t xml:space="preserve"> </w:t>
      </w:r>
      <w:r w:rsidRPr="00DB630A">
        <w:t>https://www.bls.gov/iif/oshwc/osh/case/msd_cd_r1_00_2019.xlsx</w:t>
      </w:r>
    </w:p>
  </w:footnote>
  <w:footnote w:id="68">
    <w:p w:rsidR="00406F4A" w:rsidP="00544D81">
      <w:pPr>
        <w:pStyle w:val="FootnoteText"/>
      </w:pPr>
      <w:r>
        <w:rPr>
          <w:rStyle w:val="FootnoteReference"/>
        </w:rPr>
        <w:footnoteRef/>
      </w:r>
      <w:r>
        <w:t xml:space="preserve"> </w:t>
      </w:r>
      <w:r w:rsidRPr="005F42B5">
        <w:t>https://www.businessinsurance.com/article/20210106/NEWS06/912338898/Mandatory-vaccine-policies-may-have-workers-comp-implications</w:t>
      </w:r>
    </w:p>
  </w:footnote>
  <w:footnote w:id="69">
    <w:p w:rsidR="00406F4A" w:rsidP="00544D81">
      <w:pPr>
        <w:pStyle w:val="FootnoteText"/>
      </w:pPr>
      <w:r>
        <w:rPr>
          <w:rStyle w:val="FootnoteReference"/>
        </w:rPr>
        <w:footnoteRef/>
      </w:r>
      <w:r>
        <w:t xml:space="preserve"> </w:t>
      </w:r>
      <w:r w:rsidRPr="0048420D">
        <w:t>https://www.eeoc.gov/wysk/what-you-should-know-about-covid-19-and-ada-rehabilitation-act-and-other-eeo-laws?mkt_tok=eyJpIjoiWW1VMk4yUTBOakV4TmpRMyIsInQiOiJEemxoTmhtUmNDaGI5VjVcL3dXTXA2VmF1TjZhZEJUYUNteGRkWUVYc2JGZUtUYjFBaHBaOG82c1orVUVwSnI4ejFINFN3ckt3QzcwRjdUS1hzVnRwbVF4SXBmTW0wcWVXOWZ0ZU1lQ2Q3YVVFbytKeEExdjdvN0RlVHVWbXpKTkQifQ%3D%3D</w:t>
      </w:r>
    </w:p>
  </w:footnote>
  <w:footnote w:id="70">
    <w:p w:rsidR="00406F4A" w:rsidP="006639BB">
      <w:pPr>
        <w:pStyle w:val="FootnoteText"/>
      </w:pPr>
      <w:r>
        <w:rPr>
          <w:rStyle w:val="FootnoteReference"/>
        </w:rPr>
        <w:footnoteRef/>
      </w:r>
      <w:r>
        <w:t xml:space="preserve"> </w:t>
      </w:r>
      <w:r w:rsidRPr="003B1FBF">
        <w:t>https://www.insurance.ca.gov/0250-insurers/0300-insurers/0200-bulletins/bulletin-notices-commiss-opinion/upload/Bulletin_2020-3_re_covid-19_premium_reductions-2.pdf</w:t>
      </w:r>
    </w:p>
  </w:footnote>
  <w:footnote w:id="71">
    <w:p w:rsidR="00406F4A">
      <w:pPr>
        <w:pStyle w:val="FootnoteText"/>
      </w:pPr>
      <w:r>
        <w:rPr>
          <w:rStyle w:val="FootnoteReference"/>
        </w:rPr>
        <w:footnoteRef/>
      </w:r>
      <w:r>
        <w:t xml:space="preserve"> Bulletin 2020-3 listed private passenger automobile insurance, commercial automobile insurance, workers’ compensation insurance, commercial multiple peril insurance, commercial liability insurance, medical malpractice insurance, and “any other line of coverage where the measures of risk have become substantially overstated as a result of the pandemic.”</w:t>
      </w:r>
    </w:p>
  </w:footnote>
  <w:footnote w:id="72">
    <w:p w:rsidR="00406F4A" w:rsidP="006639BB">
      <w:pPr>
        <w:pStyle w:val="FootnoteText"/>
      </w:pPr>
      <w:r>
        <w:rPr>
          <w:rStyle w:val="FootnoteReference"/>
        </w:rPr>
        <w:footnoteRef/>
      </w:r>
      <w:r>
        <w:t xml:space="preserve"> </w:t>
      </w:r>
      <w:r w:rsidRPr="009C136A">
        <w:t>https://www.insurance.ca.gov/0250-insurers/0300-insurers/0200-bulletins/bulletin-notices-commiss-opinion/upload/Bulletin-2020-4-Premium-Refunds-Credits-and-Reductions-in-Response-to-COVID-19-Pandemic.pdf</w:t>
      </w:r>
    </w:p>
  </w:footnote>
  <w:footnote w:id="73">
    <w:p w:rsidR="00406F4A" w:rsidP="00DB7414">
      <w:pPr>
        <w:pStyle w:val="FootnoteText"/>
      </w:pPr>
      <w:r>
        <w:rPr>
          <w:rStyle w:val="FootnoteReference"/>
        </w:rPr>
        <w:footnoteRef/>
      </w:r>
      <w:r>
        <w:t xml:space="preserve"> </w:t>
      </w:r>
      <w:r w:rsidRPr="0001511E">
        <w:t>https://www.insurance.ca.gov/0400-news/0100-press-releases/2020/upload/nr052WCRatingRules06172020.pdf</w:t>
      </w:r>
    </w:p>
  </w:footnote>
  <w:footnote w:id="74">
    <w:p w:rsidR="00406F4A" w:rsidP="006639BB">
      <w:pPr>
        <w:pStyle w:val="FootnoteText"/>
      </w:pPr>
      <w:r>
        <w:rPr>
          <w:rStyle w:val="FootnoteReference"/>
        </w:rPr>
        <w:footnoteRef/>
      </w:r>
      <w:r>
        <w:t xml:space="preserve"> </w:t>
      </w:r>
      <w:r>
        <w:fldChar w:fldCharType="begin"/>
      </w:r>
      <w:r>
        <w:instrText xml:space="preserve"> HYPERLINK "https://interact.ivansinsurance.com/ivans-index-quarterly-report-insurers/p/1" </w:instrText>
      </w:r>
      <w:r>
        <w:fldChar w:fldCharType="separate"/>
      </w:r>
      <w:r w:rsidRPr="00547A54">
        <w:rPr>
          <w:rStyle w:val="Hyperlink"/>
        </w:rPr>
        <w:t>https://interact.ivansinsurance.com/ivans-index-quarterly-report-insurers/p/1</w:t>
      </w:r>
      <w:r>
        <w:fldChar w:fldCharType="end"/>
      </w:r>
      <w:r>
        <w:t xml:space="preserve"> []</w:t>
      </w:r>
    </w:p>
  </w:footnote>
  <w:footnote w:id="75">
    <w:p w:rsidR="00406F4A">
      <w:pPr>
        <w:pStyle w:val="FootnoteText"/>
      </w:pPr>
      <w:r>
        <w:rPr>
          <w:rStyle w:val="FootnoteReference"/>
        </w:rPr>
        <w:footnoteRef/>
      </w:r>
      <w:r>
        <w:t xml:space="preserve"> </w:t>
      </w:r>
      <w:r w:rsidRPr="008F7AD8">
        <w:t>http://www.insurance.ca.gov/0400-news/0100-press-releases/2020/upload/nr030-BillingGracePeriodNotice03182020.pdf</w:t>
      </w:r>
    </w:p>
  </w:footnote>
  <w:footnote w:id="76">
    <w:p w:rsidR="00406F4A">
      <w:pPr>
        <w:pStyle w:val="FootnoteText"/>
      </w:pPr>
      <w:r>
        <w:rPr>
          <w:rStyle w:val="FootnoteReference"/>
        </w:rPr>
        <w:footnoteRef/>
      </w:r>
      <w:r>
        <w:t xml:space="preserve"> </w:t>
      </w:r>
      <w:r w:rsidRPr="001A5A45">
        <w:t>https://www.mordorintelligence.com/industry-reports/cyber-security-insurance-market</w:t>
      </w:r>
    </w:p>
  </w:footnote>
  <w:footnote w:id="77">
    <w:p w:rsidR="00406F4A">
      <w:pPr>
        <w:pStyle w:val="FootnoteText"/>
      </w:pPr>
      <w:r>
        <w:rPr>
          <w:rStyle w:val="FootnoteReference"/>
        </w:rPr>
        <w:footnoteRef/>
      </w:r>
      <w:r>
        <w:t xml:space="preserve"> </w:t>
      </w:r>
      <w:r w:rsidRPr="00040401">
        <w:t>https://www.spglobal.com/ratings/en/research/articles/200902-cyber-risk-in-a-new-era-insurers-can-be-part-of-the-solution-11590046?utm_campaign=corporatepro&amp;utm_medium=contentdigest&amp;utm_source=Insurance</w:t>
      </w:r>
    </w:p>
  </w:footnote>
  <w:footnote w:id="78">
    <w:p w:rsidR="00406F4A">
      <w:pPr>
        <w:pStyle w:val="FootnoteText"/>
      </w:pPr>
      <w:r>
        <w:rPr>
          <w:rStyle w:val="FootnoteReference"/>
        </w:rPr>
        <w:footnoteRef/>
      </w:r>
      <w:r>
        <w:t xml:space="preserve"> The law firm Paul Hastings maintains a database of US Courts regarding coronavirus orders (</w:t>
      </w:r>
      <w:r>
        <w:fldChar w:fldCharType="begin"/>
      </w:r>
      <w:r>
        <w:instrText xml:space="preserve"> HYPERLINK "https://www.paulhastings.com/about-us/advice-for-businesses-in-dealing-with-the-expanding-coronavirus-events/u.s.-court-closings-cancellations-and-restrictions-due-to-covid-19" </w:instrText>
      </w:r>
      <w:r>
        <w:fldChar w:fldCharType="separate"/>
      </w:r>
      <w:r w:rsidRPr="00547A54">
        <w:rPr>
          <w:rStyle w:val="Hyperlink"/>
        </w:rPr>
        <w:t>https://www.paulhastings.com/about-us/advice-for-businesses-in-dealing-with-the-expanding-coronavirus-events/u.s.-court-closings-cancellations-and-restrictions-due-to-covid-19</w:t>
      </w:r>
      <w:r>
        <w:fldChar w:fldCharType="end"/>
      </w:r>
      <w:r>
        <w:t>); information regarding California state courts can be found by consulting a superior court’s website (</w:t>
      </w:r>
      <w:r>
        <w:fldChar w:fldCharType="begin"/>
      </w:r>
      <w:r>
        <w:instrText xml:space="preserve"> HYPERLINK "https://www.courts.ca.gov/find-my-court.htm?query=browse_courts" </w:instrText>
      </w:r>
      <w:r>
        <w:fldChar w:fldCharType="separate"/>
      </w:r>
      <w:r w:rsidRPr="00547A54">
        <w:rPr>
          <w:rStyle w:val="Hyperlink"/>
        </w:rPr>
        <w:t>https://www.courts.ca.gov/find-my-court.htm?query=browse_courts</w:t>
      </w:r>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6F4A" w:rsidRPr="00406F4A">
    <w:pPr>
      <w:pStyle w:val="Header"/>
    </w:pPr>
    <w:r w:rsidRPr="00406F4A">
      <w:rPr>
        <w:noProof/>
      </w:rPr>
      <mc:AlternateContent>
        <mc:Choice Requires="wps">
          <w:drawing>
            <wp:anchor distT="0" distB="0" distL="114300" distR="114300" simplePos="0" relativeHeight="251660288" behindDoc="0" locked="1" layoutInCell="1" allowOverlap="1">
              <wp:simplePos x="0" y="0"/>
              <wp:positionH relativeFrom="page">
                <wp:posOffset>87630</wp:posOffset>
              </wp:positionH>
              <wp:positionV relativeFrom="page">
                <wp:posOffset>9372600</wp:posOffset>
              </wp:positionV>
              <wp:extent cx="1143000" cy="612140"/>
              <wp:effectExtent l="0" t="0" r="0" b="0"/>
              <wp:wrapNone/>
              <wp:docPr id="3" name="PldLogoAddress"/>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0" cy="6121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06F4A" w:rsidP="00406F4A">
                          <w:pPr>
                            <w:pStyle w:val="PleadingLogoFirmName"/>
                            <w:spacing w:line="140" w:lineRule="exact"/>
                          </w:pPr>
                          <w:r>
                            <w:t>McCormick, Barstow, Sheppard, Wayte &amp;</w:t>
                          </w:r>
                          <w:r>
                            <w:br/>
                            <w:t>Carruth LLP</w:t>
                          </w:r>
                        </w:p>
                        <w:p w:rsidR="00406F4A" w:rsidP="00406F4A">
                          <w:pPr>
                            <w:pStyle w:val="PleadingLogo"/>
                          </w:pPr>
                          <w:r>
                            <w:t>7647 NORTH FRESNO STREET</w:t>
                          </w:r>
                        </w:p>
                        <w:p w:rsidR="00406F4A" w:rsidP="00406F4A">
                          <w:pPr>
                            <w:pStyle w:val="PleadingLogo"/>
                          </w:pPr>
                          <w:r>
                            <w:t>FRESNO, CA 93720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ldLogoAddress" o:spid="_x0000_s2049" type="#_x0000_t202" style="height:48.2pt;margin-left:6.9pt;margin-top:73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90pt;z-index:251661312" filled="f" stroked="f">
              <v:textbox>
                <w:txbxContent>
                  <w:p w:rsidR="00406F4A" w:rsidP="00406F4A">
                    <w:pPr>
                      <w:pStyle w:val="PleadingLogoFirmName"/>
                      <w:spacing w:line="140" w:lineRule="exact"/>
                    </w:pPr>
                    <w:r>
                      <w:t>McCormick, Barstow, Sheppard, Wayte &amp;</w:t>
                    </w:r>
                    <w:r>
                      <w:br/>
                      <w:t>Carruth LLP</w:t>
                    </w:r>
                  </w:p>
                  <w:p w:rsidR="00406F4A" w:rsidP="00406F4A">
                    <w:pPr>
                      <w:pStyle w:val="PleadingLogo"/>
                    </w:pPr>
                    <w:r>
                      <w:t>7647 NORTH FRESNO STREET</w:t>
                    </w:r>
                  </w:p>
                  <w:p w:rsidR="00406F4A" w:rsidP="00406F4A">
                    <w:pPr>
                      <w:pStyle w:val="PleadingLogo"/>
                    </w:pPr>
                    <w:r>
                      <w:t>FRESNO, CA 93720</w:t>
                    </w: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6F4A">
    <w:pPr>
      <w:pStyle w:val="Header"/>
    </w:pPr>
    <w:r>
      <w:rPr>
        <w:noProof/>
      </w:rPr>
      <mc:AlternateContent>
        <mc:Choice Requires="wps">
          <w:drawing>
            <wp:anchor distT="0" distB="0" distL="114300" distR="114300" simplePos="0" relativeHeight="251658240" behindDoc="0" locked="1" layoutInCell="1" allowOverlap="1">
              <wp:simplePos x="0" y="0"/>
              <wp:positionH relativeFrom="page">
                <wp:posOffset>87630</wp:posOffset>
              </wp:positionH>
              <wp:positionV relativeFrom="page">
                <wp:posOffset>9372600</wp:posOffset>
              </wp:positionV>
              <wp:extent cx="1143000" cy="612140"/>
              <wp:effectExtent l="0" t="0" r="0" b="0"/>
              <wp:wrapNone/>
              <wp:docPr id="5" name="PldLogoAddress"/>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0" cy="6121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06F4A" w:rsidP="00406F4A">
                          <w:pPr>
                            <w:pStyle w:val="PleadingLogo"/>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height:48.2pt;margin-left:6.9pt;margin-top:73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90pt;z-index:251659264" filled="f" stroked="f">
              <v:textbox>
                <w:txbxContent>
                  <w:p w:rsidR="00406F4A" w:rsidP="00406F4A">
                    <w:pPr>
                      <w:pStyle w:val="PleadingLogo"/>
                    </w:pP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6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000001"/>
    <w:multiLevelType w:val="hybridMultilevel"/>
    <w:tmpl w:val="00000001"/>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9C57F1A"/>
    <w:multiLevelType w:val="multilevel"/>
    <w:tmpl w:val="1B9EF966"/>
    <w:name w:val="Pleading 1:  Level 1 Left"/>
    <w:lvl w:ilvl="0">
      <w:start w:val="1"/>
      <w:numFmt w:val="upperRoman"/>
      <w:lvlText w:val="%1."/>
      <w:lvlJc w:val="left"/>
      <w:pPr>
        <w:tabs>
          <w:tab w:val="num" w:pos="720"/>
        </w:tabs>
        <w:ind w:left="720" w:hanging="720"/>
      </w:pPr>
      <w:rPr>
        <w:b/>
        <w:i w:val="0"/>
        <w:caps w:val="0"/>
        <w:u w:val="none"/>
      </w:rPr>
    </w:lvl>
    <w:lvl w:ilvl="1">
      <w:start w:val="1"/>
      <w:numFmt w:val="upperLetter"/>
      <w:lvlText w:val="%2."/>
      <w:lvlJc w:val="left"/>
      <w:pPr>
        <w:tabs>
          <w:tab w:val="num" w:pos="1440"/>
        </w:tabs>
        <w:ind w:left="1440" w:hanging="720"/>
      </w:pPr>
      <w:rPr>
        <w:b/>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upperLetter"/>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decimal"/>
      <w:lvlText w:val="%9."/>
      <w:lvlJc w:val="left"/>
      <w:pPr>
        <w:tabs>
          <w:tab w:val="num" w:pos="1440"/>
        </w:tabs>
        <w:ind w:left="0" w:firstLine="720"/>
      </w:pPr>
      <w:rPr>
        <w:b w:val="0"/>
        <w:i w:val="0"/>
        <w:caps w:val="0"/>
        <w:color w:val="000000"/>
        <w:u w:val="none"/>
      </w:rPr>
    </w:lvl>
  </w:abstractNum>
  <w:abstractNum w:abstractNumId="7">
    <w:nsid w:val="37394403"/>
    <w:multiLevelType w:val="hybridMultilevel"/>
    <w:tmpl w:val="EA9C2A94"/>
    <w:lvl w:ilvl="0">
      <w:start w:val="1"/>
      <w:numFmt w:val="bullet"/>
      <w:lvlText w:val="•"/>
      <w:lvlJc w:val="left"/>
      <w:pPr>
        <w:tabs>
          <w:tab w:val="num" w:pos="720"/>
        </w:tabs>
        <w:ind w:left="720" w:hanging="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1130C0A"/>
    <w:multiLevelType w:val="multilevel"/>
    <w:tmpl w:val="D72AE368"/>
    <w:name w:val="Paragraph Left2"/>
    <w:lvl w:ilvl="0">
      <w:start w:val="1"/>
      <w:numFmt w:val="decimal"/>
      <w:lvlText w:val="%1."/>
      <w:lvlJc w:val="left"/>
      <w:pPr>
        <w:tabs>
          <w:tab w:val="num" w:pos="1440"/>
        </w:tabs>
        <w:ind w:left="0" w:firstLine="720"/>
      </w:pPr>
      <w:rPr>
        <w:b w:val="0"/>
        <w:i w:val="0"/>
        <w:caps w:val="0"/>
        <w:u w:val="none"/>
      </w:rPr>
    </w:lvl>
    <w:lvl w:ilvl="1">
      <w:start w:val="1"/>
      <w:numFmt w:val="lowerLetter"/>
      <w:lvlText w:val="%2."/>
      <w:lvlJc w:val="left"/>
      <w:pPr>
        <w:tabs>
          <w:tab w:val="num" w:pos="2160"/>
        </w:tabs>
        <w:ind w:left="0" w:firstLine="1440"/>
      </w:pPr>
      <w:rPr>
        <w:b w:val="0"/>
        <w:i w:val="0"/>
        <w:caps w:val="0"/>
        <w:u w:val="none"/>
      </w:rPr>
    </w:lvl>
    <w:lvl w:ilvl="2">
      <w:start w:val="1"/>
      <w:numFmt w:val="lowerRoman"/>
      <w:lvlText w:val="%3."/>
      <w:lvlJc w:val="left"/>
      <w:pPr>
        <w:tabs>
          <w:tab w:val="num" w:pos="2880"/>
        </w:tabs>
        <w:ind w:left="0" w:firstLine="2160"/>
      </w:pPr>
      <w:rPr>
        <w:b w:val="0"/>
        <w:i w:val="0"/>
        <w:caps w:val="0"/>
        <w:u w:val="none"/>
      </w:rPr>
    </w:lvl>
    <w:lvl w:ilvl="3">
      <w:start w:val="1"/>
      <w:numFmt w:val="decimal"/>
      <w:lvlText w:val="(%4)"/>
      <w:lvlJc w:val="left"/>
      <w:pPr>
        <w:tabs>
          <w:tab w:val="num" w:pos="3600"/>
        </w:tabs>
        <w:ind w:left="0" w:firstLine="2880"/>
      </w:pPr>
      <w:rPr>
        <w:b w:val="0"/>
        <w:i w:val="0"/>
        <w:caps w:val="0"/>
        <w:u w:val="none"/>
      </w:rPr>
    </w:lvl>
    <w:lvl w:ilvl="4">
      <w:start w:val="1"/>
      <w:numFmt w:val="lowerLetter"/>
      <w:lvlText w:val="(%5)"/>
      <w:lvlJc w:val="left"/>
      <w:pPr>
        <w:tabs>
          <w:tab w:val="num" w:pos="4320"/>
        </w:tabs>
        <w:ind w:left="0" w:firstLine="3600"/>
      </w:pPr>
      <w:rPr>
        <w:b w:val="0"/>
        <w:i w:val="0"/>
        <w:caps w:val="0"/>
        <w:u w:val="none"/>
      </w:rPr>
    </w:lvl>
    <w:lvl w:ilvl="5">
      <w:start w:val="1"/>
      <w:numFmt w:val="lowerRoman"/>
      <w:lvlText w:val="(%6)"/>
      <w:lvlJc w:val="left"/>
      <w:pPr>
        <w:tabs>
          <w:tab w:val="num" w:pos="5040"/>
        </w:tabs>
        <w:ind w:left="0" w:firstLine="4320"/>
      </w:pPr>
      <w:rPr>
        <w:b w:val="0"/>
        <w:i w:val="0"/>
        <w:caps w:val="0"/>
        <w:u w:val="none"/>
      </w:rPr>
    </w:lvl>
    <w:lvl w:ilvl="6">
      <w:start w:val="1"/>
      <w:numFmt w:val="decimal"/>
      <w:lvlText w:val="%7)"/>
      <w:lvlJc w:val="left"/>
      <w:pPr>
        <w:tabs>
          <w:tab w:val="num" w:pos="5760"/>
        </w:tabs>
        <w:ind w:left="0" w:firstLine="5040"/>
      </w:pPr>
      <w:rPr>
        <w:b w:val="0"/>
        <w:i w:val="0"/>
        <w:caps w:val="0"/>
        <w:u w:val="none"/>
      </w:rPr>
    </w:lvl>
    <w:lvl w:ilvl="7">
      <w:start w:val="1"/>
      <w:numFmt w:val="lowerLetter"/>
      <w:lvlText w:val="%8)"/>
      <w:lvlJc w:val="left"/>
      <w:pPr>
        <w:tabs>
          <w:tab w:val="num" w:pos="6480"/>
        </w:tabs>
        <w:ind w:left="0" w:firstLine="5760"/>
      </w:pPr>
      <w:rPr>
        <w:b w:val="0"/>
        <w:i w:val="0"/>
        <w:caps w:val="0"/>
        <w:u w:val="none"/>
      </w:rPr>
    </w:lvl>
    <w:lvl w:ilvl="8">
      <w:start w:val="1"/>
      <w:numFmt w:val="lowerRoman"/>
      <w:lvlText w:val="%9)"/>
      <w:lvlJc w:val="left"/>
      <w:pPr>
        <w:tabs>
          <w:tab w:val="num" w:pos="7200"/>
        </w:tabs>
        <w:ind w:left="0" w:firstLine="6480"/>
      </w:pPr>
      <w:rPr>
        <w:b w:val="0"/>
        <w:i w:val="0"/>
        <w:caps w:val="0"/>
        <w:color w:val="000000"/>
        <w:u w:val="none"/>
      </w:rPr>
    </w:lvl>
  </w:abstractNum>
  <w:abstractNum w:abstractNumId="9">
    <w:nsid w:val="529034E6"/>
    <w:multiLevelType w:val="multilevel"/>
    <w:tmpl w:val="91806B86"/>
    <w:name w:val="Pleading 1:  Level 1 Left2"/>
    <w:lvl w:ilvl="0">
      <w:start w:val="1"/>
      <w:numFmt w:val="upperRoman"/>
      <w:pStyle w:val="Level1"/>
      <w:lvlText w:val="%1."/>
      <w:lvlJc w:val="left"/>
      <w:pPr>
        <w:tabs>
          <w:tab w:val="num" w:pos="720"/>
        </w:tabs>
        <w:ind w:left="720" w:hanging="720"/>
      </w:pPr>
      <w:rPr>
        <w:b/>
        <w:i w:val="0"/>
        <w:caps w:val="0"/>
        <w:u w:val="none"/>
      </w:rPr>
    </w:lvl>
    <w:lvl w:ilvl="1">
      <w:start w:val="1"/>
      <w:numFmt w:val="upperLetter"/>
      <w:pStyle w:val="Level2"/>
      <w:lvlText w:val="%2."/>
      <w:lvlJc w:val="left"/>
      <w:pPr>
        <w:tabs>
          <w:tab w:val="num" w:pos="1440"/>
        </w:tabs>
        <w:ind w:left="1440" w:hanging="720"/>
      </w:pPr>
      <w:rPr>
        <w:b/>
        <w:i w:val="0"/>
        <w:caps w:val="0"/>
        <w:u w:val="none"/>
      </w:rPr>
    </w:lvl>
    <w:lvl w:ilvl="2">
      <w:start w:val="1"/>
      <w:numFmt w:val="decimal"/>
      <w:pStyle w:val="Level3"/>
      <w:lvlText w:val="%3."/>
      <w:lvlJc w:val="left"/>
      <w:pPr>
        <w:tabs>
          <w:tab w:val="num" w:pos="2160"/>
        </w:tabs>
        <w:ind w:left="2160" w:hanging="720"/>
      </w:pPr>
      <w:rPr>
        <w:b/>
        <w:i w:val="0"/>
        <w:caps w:val="0"/>
        <w:u w:val="none"/>
      </w:rPr>
    </w:lvl>
    <w:lvl w:ilvl="3">
      <w:start w:val="1"/>
      <w:numFmt w:val="lowerLetter"/>
      <w:pStyle w:val="Level4"/>
      <w:lvlText w:val="%4."/>
      <w:lvlJc w:val="left"/>
      <w:pPr>
        <w:tabs>
          <w:tab w:val="num" w:pos="2880"/>
        </w:tabs>
        <w:ind w:left="2880" w:hanging="720"/>
      </w:pPr>
      <w:rPr>
        <w:b/>
        <w:i w:val="0"/>
        <w:caps w:val="0"/>
        <w:u w:val="none"/>
      </w:rPr>
    </w:lvl>
    <w:lvl w:ilvl="4">
      <w:start w:val="1"/>
      <w:numFmt w:val="lowerRoman"/>
      <w:pStyle w:val="Level5"/>
      <w:lvlText w:val="(%5)"/>
      <w:lvlJc w:val="left"/>
      <w:pPr>
        <w:tabs>
          <w:tab w:val="num" w:pos="3600"/>
        </w:tabs>
        <w:ind w:left="3600" w:hanging="720"/>
      </w:pPr>
      <w:rPr>
        <w:b/>
        <w:i w:val="0"/>
        <w:caps w:val="0"/>
        <w:u w:val="none"/>
      </w:rPr>
    </w:lvl>
    <w:lvl w:ilvl="5">
      <w:start w:val="1"/>
      <w:numFmt w:val="upperLetter"/>
      <w:pStyle w:val="Level6"/>
      <w:lvlText w:val="%6)"/>
      <w:lvlJc w:val="left"/>
      <w:pPr>
        <w:tabs>
          <w:tab w:val="num" w:pos="4320"/>
        </w:tabs>
        <w:ind w:left="4320" w:hanging="720"/>
      </w:pPr>
      <w:rPr>
        <w:b w:val="0"/>
        <w:i w:val="0"/>
        <w:caps w:val="0"/>
        <w:u w:val="none"/>
      </w:rPr>
    </w:lvl>
    <w:lvl w:ilvl="6">
      <w:start w:val="1"/>
      <w:numFmt w:val="decimal"/>
      <w:pStyle w:val="Level7"/>
      <w:lvlText w:val="%7)"/>
      <w:lvlJc w:val="left"/>
      <w:pPr>
        <w:tabs>
          <w:tab w:val="num" w:pos="5040"/>
        </w:tabs>
        <w:ind w:left="5040" w:hanging="720"/>
      </w:pPr>
      <w:rPr>
        <w:b w:val="0"/>
        <w:i w:val="0"/>
        <w:caps w:val="0"/>
        <w:u w:val="none"/>
      </w:rPr>
    </w:lvl>
    <w:lvl w:ilvl="7">
      <w:start w:val="1"/>
      <w:numFmt w:val="lowerLetter"/>
      <w:pStyle w:val="Level8"/>
      <w:lvlText w:val="%8)"/>
      <w:lvlJc w:val="left"/>
      <w:pPr>
        <w:tabs>
          <w:tab w:val="num" w:pos="5760"/>
        </w:tabs>
        <w:ind w:left="5760" w:hanging="720"/>
      </w:pPr>
      <w:rPr>
        <w:b w:val="0"/>
        <w:i w:val="0"/>
        <w:caps w:val="0"/>
        <w:u w:val="none"/>
      </w:rPr>
    </w:lvl>
    <w:lvl w:ilvl="8">
      <w:start w:val="1"/>
      <w:numFmt w:val="decimal"/>
      <w:pStyle w:val="Level9"/>
      <w:lvlText w:val="%9."/>
      <w:lvlJc w:val="left"/>
      <w:pPr>
        <w:tabs>
          <w:tab w:val="num" w:pos="1440"/>
        </w:tabs>
        <w:ind w:left="0" w:firstLine="720"/>
      </w:pPr>
      <w:rPr>
        <w:b w:val="0"/>
        <w:i w:val="0"/>
        <w:caps w:val="0"/>
        <w:color w:val="000000"/>
        <w:u w:val="none"/>
      </w:r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proofState w:spelling="clean"/>
  <w:defaultTabStop w:val="720"/>
  <w:characterSpacingControl w:val="doNotCompress"/>
  <w:footnotePr>
    <w:footnote w:id="0"/>
    <w:footnote w:id="1"/>
  </w:foot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CE33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33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333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E33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szCs w:val="24"/>
      <w:lang w:eastAsia="zh-CN"/>
    </w:rPr>
  </w:style>
  <w:style w:type="paragraph" w:styleId="ListBullet2">
    <w:name w:val="List Bullet 2"/>
    <w:basedOn w:val="Normal"/>
    <w:pPr>
      <w:numPr>
        <w:numId w:val="5"/>
      </w:numPr>
      <w:spacing w:after="240"/>
    </w:pPr>
    <w:rPr>
      <w:rFonts w:eastAsia="SimSun"/>
      <w:szCs w:val="24"/>
      <w:lang w:eastAsia="zh-CN"/>
    </w:rPr>
  </w:style>
  <w:style w:type="paragraph" w:styleId="ListBullet3">
    <w:name w:val="List Bullet 3"/>
    <w:basedOn w:val="Normal"/>
    <w:pPr>
      <w:numPr>
        <w:numId w:val="7"/>
      </w:numPr>
      <w:spacing w:after="240"/>
    </w:pPr>
    <w:rPr>
      <w:rFonts w:eastAsia="SimSun"/>
      <w:szCs w:val="24"/>
      <w:lang w:eastAsia="zh-CN"/>
    </w:rPr>
  </w:style>
  <w:style w:type="paragraph" w:styleId="ListBullet4">
    <w:name w:val="List Bullet 4"/>
    <w:basedOn w:val="Normal"/>
    <w:pPr>
      <w:numPr>
        <w:numId w:val="9"/>
      </w:numPr>
      <w:spacing w:after="240"/>
    </w:pPr>
    <w:rPr>
      <w:rFonts w:eastAsia="SimSun"/>
      <w:szCs w:val="24"/>
      <w:lang w:eastAsia="zh-CN"/>
    </w:rPr>
  </w:style>
  <w:style w:type="paragraph" w:styleId="ListBullet5">
    <w:name w:val="List Bullet 5"/>
    <w:basedOn w:val="Normal"/>
    <w:pPr>
      <w:numPr>
        <w:numId w:val="11"/>
      </w:numPr>
      <w:spacing w:after="240"/>
    </w:pPr>
    <w:rPr>
      <w:rFonts w:eastAsia="SimSun"/>
      <w:szCs w:val="24"/>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sid w:val="007B09BC"/>
    <w:rPr>
      <w:color w:val="0563C1" w:themeColor="hyperlink"/>
      <w:u w:val="single"/>
    </w:rPr>
  </w:style>
  <w:style w:type="character" w:customStyle="1" w:styleId="Heading1Char">
    <w:name w:val="Heading 1 Char"/>
    <w:basedOn w:val="DefaultParagraphFont"/>
    <w:link w:val="Heading1"/>
    <w:uiPriority w:val="9"/>
    <w:rsid w:val="00CE33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E33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3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333A"/>
    <w:rPr>
      <w:rFonts w:asciiTheme="majorHAnsi" w:eastAsiaTheme="majorEastAsia" w:hAnsiTheme="majorHAnsi" w:cstheme="majorBidi"/>
      <w:i/>
      <w:iCs/>
      <w:color w:val="2F5496" w:themeColor="accent1" w:themeShade="BF"/>
      <w:sz w:val="24"/>
    </w:rPr>
  </w:style>
  <w:style w:type="paragraph" w:customStyle="1" w:styleId="Level1">
    <w:name w:val="Level 1"/>
    <w:basedOn w:val="Normal0"/>
    <w:next w:val="20sp05"/>
    <w:rsid w:val="00CE333A"/>
    <w:pPr>
      <w:keepNext/>
      <w:numPr>
        <w:numId w:val="13"/>
      </w:numPr>
      <w:spacing w:after="240"/>
      <w:outlineLvl w:val="0"/>
    </w:pPr>
    <w:rPr>
      <w:b/>
      <w:caps/>
      <w:u w:val="single"/>
    </w:rPr>
  </w:style>
  <w:style w:type="paragraph" w:customStyle="1" w:styleId="Level2">
    <w:name w:val="Level 2"/>
    <w:basedOn w:val="Normal0"/>
    <w:next w:val="20sp05"/>
    <w:rsid w:val="00CE333A"/>
    <w:pPr>
      <w:keepNext/>
      <w:numPr>
        <w:ilvl w:val="1"/>
        <w:numId w:val="13"/>
      </w:numPr>
      <w:tabs>
        <w:tab w:val="left" w:pos="1440"/>
      </w:tabs>
      <w:spacing w:after="240"/>
      <w:outlineLvl w:val="1"/>
    </w:pPr>
    <w:rPr>
      <w:b/>
      <w:u w:val="single"/>
    </w:rPr>
  </w:style>
  <w:style w:type="paragraph" w:customStyle="1" w:styleId="Level3">
    <w:name w:val="Level 3"/>
    <w:basedOn w:val="Normal0"/>
    <w:next w:val="20sp05"/>
    <w:rsid w:val="00CE333A"/>
    <w:pPr>
      <w:keepNext/>
      <w:keepLines/>
      <w:numPr>
        <w:ilvl w:val="2"/>
        <w:numId w:val="13"/>
      </w:numPr>
      <w:tabs>
        <w:tab w:val="left" w:pos="2160"/>
      </w:tabs>
      <w:spacing w:after="240"/>
      <w:outlineLvl w:val="2"/>
    </w:pPr>
    <w:rPr>
      <w:b/>
    </w:rPr>
  </w:style>
  <w:style w:type="paragraph" w:customStyle="1" w:styleId="Level4">
    <w:name w:val="Level 4"/>
    <w:basedOn w:val="Normal0"/>
    <w:rsid w:val="00CE333A"/>
    <w:pPr>
      <w:keepNext/>
      <w:keepLines/>
      <w:numPr>
        <w:ilvl w:val="3"/>
        <w:numId w:val="13"/>
      </w:numPr>
      <w:tabs>
        <w:tab w:val="left" w:pos="2880"/>
      </w:tabs>
      <w:spacing w:after="240"/>
      <w:outlineLvl w:val="3"/>
    </w:pPr>
    <w:rPr>
      <w:b/>
    </w:rPr>
  </w:style>
  <w:style w:type="paragraph" w:customStyle="1" w:styleId="Level5">
    <w:name w:val="Level 5"/>
    <w:basedOn w:val="Normal0"/>
    <w:rsid w:val="00CE333A"/>
    <w:pPr>
      <w:keepNext/>
      <w:keepLines/>
      <w:numPr>
        <w:ilvl w:val="4"/>
        <w:numId w:val="13"/>
      </w:numPr>
      <w:tabs>
        <w:tab w:val="left" w:pos="3600"/>
      </w:tabs>
      <w:spacing w:after="240"/>
      <w:outlineLvl w:val="4"/>
    </w:pPr>
    <w:rPr>
      <w:b/>
    </w:rPr>
  </w:style>
  <w:style w:type="paragraph" w:customStyle="1" w:styleId="Level6">
    <w:name w:val="Level 6"/>
    <w:basedOn w:val="Normal0"/>
    <w:rsid w:val="00CE333A"/>
    <w:pPr>
      <w:keepNext/>
      <w:keepLines/>
      <w:numPr>
        <w:ilvl w:val="5"/>
        <w:numId w:val="13"/>
      </w:numPr>
      <w:tabs>
        <w:tab w:val="left" w:pos="4320"/>
      </w:tabs>
      <w:spacing w:after="240"/>
      <w:outlineLvl w:val="5"/>
    </w:pPr>
  </w:style>
  <w:style w:type="paragraph" w:customStyle="1" w:styleId="Level7">
    <w:name w:val="Level 7"/>
    <w:basedOn w:val="Normal0"/>
    <w:rsid w:val="00CE333A"/>
    <w:pPr>
      <w:keepNext/>
      <w:keepLines/>
      <w:numPr>
        <w:ilvl w:val="6"/>
        <w:numId w:val="13"/>
      </w:numPr>
      <w:tabs>
        <w:tab w:val="left" w:pos="5040"/>
      </w:tabs>
      <w:spacing w:after="240"/>
      <w:outlineLvl w:val="6"/>
    </w:pPr>
  </w:style>
  <w:style w:type="paragraph" w:customStyle="1" w:styleId="Level8">
    <w:name w:val="Level 8"/>
    <w:basedOn w:val="Normal0"/>
    <w:rsid w:val="00CE333A"/>
    <w:pPr>
      <w:keepNext/>
      <w:keepLines/>
      <w:numPr>
        <w:ilvl w:val="7"/>
        <w:numId w:val="13"/>
      </w:numPr>
      <w:tabs>
        <w:tab w:val="left" w:pos="5760"/>
      </w:tabs>
      <w:spacing w:after="240"/>
      <w:outlineLvl w:val="7"/>
    </w:pPr>
  </w:style>
  <w:style w:type="paragraph" w:customStyle="1" w:styleId="Level9">
    <w:name w:val="Level 9"/>
    <w:basedOn w:val="Normal0"/>
    <w:rsid w:val="00CE333A"/>
    <w:pPr>
      <w:numPr>
        <w:ilvl w:val="8"/>
        <w:numId w:val="13"/>
      </w:numPr>
      <w:spacing w:line="480" w:lineRule="auto"/>
      <w:outlineLvl w:val="8"/>
    </w:pPr>
  </w:style>
  <w:style w:type="paragraph" w:customStyle="1" w:styleId="Level1Alt">
    <w:name w:val="Level 1 Alt"/>
    <w:basedOn w:val="Level1"/>
    <w:next w:val="20sp05"/>
    <w:rsid w:val="00CE333A"/>
    <w:pPr>
      <w:outlineLvl w:val="9"/>
    </w:pPr>
  </w:style>
  <w:style w:type="paragraph" w:customStyle="1" w:styleId="Level2Alt">
    <w:name w:val="Level 2 Alt"/>
    <w:basedOn w:val="Level2"/>
    <w:next w:val="20sp05"/>
    <w:rsid w:val="00CE333A"/>
    <w:pPr>
      <w:outlineLvl w:val="9"/>
    </w:pPr>
  </w:style>
  <w:style w:type="paragraph" w:customStyle="1" w:styleId="Level3Alt">
    <w:name w:val="Level 3 Alt"/>
    <w:basedOn w:val="Level3"/>
    <w:next w:val="20sp05"/>
    <w:rsid w:val="00CE333A"/>
    <w:pPr>
      <w:outlineLvl w:val="9"/>
    </w:pPr>
  </w:style>
  <w:style w:type="paragraph" w:customStyle="1" w:styleId="Level4Alt">
    <w:name w:val="Level 4 Alt"/>
    <w:basedOn w:val="Level4"/>
    <w:rsid w:val="00CE333A"/>
    <w:pPr>
      <w:outlineLvl w:val="9"/>
    </w:pPr>
  </w:style>
  <w:style w:type="paragraph" w:styleId="Header">
    <w:name w:val="header"/>
    <w:basedOn w:val="Normal"/>
    <w:link w:val="HeaderChar"/>
    <w:uiPriority w:val="99"/>
    <w:unhideWhenUsed/>
    <w:rsid w:val="00CE333A"/>
    <w:pPr>
      <w:tabs>
        <w:tab w:val="center" w:pos="4680"/>
        <w:tab w:val="right" w:pos="9360"/>
      </w:tabs>
    </w:pPr>
  </w:style>
  <w:style w:type="character" w:customStyle="1" w:styleId="HeaderChar">
    <w:name w:val="Header Char"/>
    <w:basedOn w:val="DefaultParagraphFont"/>
    <w:link w:val="Header"/>
    <w:uiPriority w:val="99"/>
    <w:rsid w:val="00CE333A"/>
    <w:rPr>
      <w:rFonts w:ascii="Times New Roman" w:hAnsi="Times New Roman" w:cs="Times New Roman"/>
      <w:sz w:val="24"/>
    </w:rPr>
  </w:style>
  <w:style w:type="paragraph" w:styleId="Footer">
    <w:name w:val="footer"/>
    <w:basedOn w:val="Normal"/>
    <w:link w:val="FooterChar"/>
    <w:uiPriority w:val="99"/>
    <w:unhideWhenUsed/>
    <w:rsid w:val="00CE333A"/>
    <w:pPr>
      <w:tabs>
        <w:tab w:val="center" w:pos="4680"/>
        <w:tab w:val="right" w:pos="9360"/>
      </w:tabs>
    </w:pPr>
  </w:style>
  <w:style w:type="character" w:customStyle="1" w:styleId="FooterChar">
    <w:name w:val="Footer Char"/>
    <w:basedOn w:val="DefaultParagraphFont"/>
    <w:link w:val="Footer"/>
    <w:uiPriority w:val="99"/>
    <w:rsid w:val="00CE333A"/>
    <w:rPr>
      <w:rFonts w:ascii="Times New Roman" w:hAnsi="Times New Roman" w:cs="Times New Roman"/>
      <w:sz w:val="24"/>
    </w:rPr>
  </w:style>
  <w:style w:type="paragraph" w:customStyle="1" w:styleId="DraftStamp">
    <w:name w:val="_Draft Stamp"/>
    <w:rsid w:val="00196703"/>
    <w:pPr>
      <w:spacing w:after="0" w:line="240" w:lineRule="auto"/>
      <w:jc w:val="center"/>
    </w:pPr>
    <w:rPr>
      <w:rFonts w:ascii="Arial" w:eastAsia="Times New Roman" w:hAnsi="Arial" w:cs="Arial"/>
      <w:b/>
      <w:sz w:val="36"/>
      <w:szCs w:val="32"/>
    </w:rPr>
  </w:style>
  <w:style w:type="paragraph" w:styleId="BalloonText">
    <w:name w:val="Balloon Text"/>
    <w:basedOn w:val="Normal"/>
    <w:link w:val="BalloonTextChar"/>
    <w:uiPriority w:val="99"/>
    <w:semiHidden/>
    <w:unhideWhenUsed/>
    <w:rsid w:val="006B4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3C"/>
    <w:rPr>
      <w:rFonts w:ascii="Segoe UI" w:hAnsi="Segoe UI" w:cs="Segoe UI"/>
      <w:sz w:val="18"/>
      <w:szCs w:val="18"/>
    </w:rPr>
  </w:style>
  <w:style w:type="character" w:styleId="FollowedHyperlink">
    <w:name w:val="FollowedHyperlink"/>
    <w:basedOn w:val="DefaultParagraphFont"/>
    <w:uiPriority w:val="99"/>
    <w:semiHidden/>
    <w:unhideWhenUsed/>
    <w:rsid w:val="003506E4"/>
    <w:rPr>
      <w:color w:val="954F72" w:themeColor="followedHyperlink"/>
      <w:u w:val="single"/>
    </w:rPr>
  </w:style>
  <w:style w:type="paragraph" w:customStyle="1" w:styleId="PleadingLogo">
    <w:name w:val="_Pleading Logo"/>
    <w:basedOn w:val="Normal"/>
    <w:rsid w:val="008D6737"/>
    <w:pPr>
      <w:widowControl w:val="0"/>
      <w:suppressAutoHyphens w:val="0"/>
      <w:spacing w:line="360" w:lineRule="auto"/>
      <w:jc w:val="center"/>
    </w:pPr>
    <w:rPr>
      <w:rFonts w:ascii="Arial" w:eastAsia="Times New Roman" w:hAnsi="Arial" w:cs="Arial"/>
      <w:noProof/>
      <w:sz w:val="8"/>
      <w:szCs w:val="11"/>
    </w:rPr>
  </w:style>
  <w:style w:type="paragraph" w:customStyle="1" w:styleId="PleadingLogoFirmName">
    <w:name w:val="_Pleading Logo Firm Name"/>
    <w:basedOn w:val="PleadingLogo"/>
    <w:rsid w:val="008D6737"/>
    <w:pPr>
      <w:spacing w:after="40" w:line="240" w:lineRule="auto"/>
    </w:pPr>
    <w:rPr>
      <w:small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83F4-8711-461A-9F95-0AFE6060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7082</Words>
  <Characters>44053</Characters>
  <Application>Microsoft Office Word</Application>
  <DocSecurity>0</DocSecurity>
  <Lines>697</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